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477" w:rsidRPr="00025354" w:rsidRDefault="00CB6477" w:rsidP="00CB6477">
      <w:pPr>
        <w:pStyle w:val="NoSpacing"/>
        <w:jc w:val="center"/>
        <w:rPr>
          <w:rStyle w:val="FontStyle12"/>
          <w:sz w:val="28"/>
          <w:szCs w:val="28"/>
          <w:lang w:val="uk-UA" w:eastAsia="uk-UA"/>
        </w:rPr>
      </w:pPr>
      <w:r w:rsidRPr="00025354">
        <w:rPr>
          <w:rStyle w:val="FontStyle12"/>
          <w:sz w:val="28"/>
          <w:szCs w:val="28"/>
          <w:lang w:val="uk-UA" w:eastAsia="uk-UA"/>
        </w:rPr>
        <w:t>Звернення</w:t>
      </w:r>
    </w:p>
    <w:p w:rsidR="00CB6477" w:rsidRPr="00025354" w:rsidRDefault="00CB6477" w:rsidP="00CB6477">
      <w:pPr>
        <w:pStyle w:val="NoSpacing"/>
        <w:ind w:firstLine="540"/>
        <w:jc w:val="center"/>
        <w:rPr>
          <w:rStyle w:val="FontStyle12"/>
          <w:sz w:val="28"/>
          <w:szCs w:val="28"/>
          <w:lang w:val="uk-UA" w:eastAsia="uk-UA"/>
        </w:rPr>
      </w:pPr>
      <w:r w:rsidRPr="00025354">
        <w:rPr>
          <w:rStyle w:val="FontStyle12"/>
          <w:sz w:val="28"/>
          <w:szCs w:val="28"/>
          <w:lang w:val="uk-UA" w:eastAsia="uk-UA"/>
        </w:rPr>
        <w:t>до Верховної Ради України, Кабінету Міністрів України щодо розширення повноважень органів місцевого самоврядування з розпорядження землями сільськогосподарського призначення державної власності</w:t>
      </w:r>
    </w:p>
    <w:p w:rsidR="00CB6477" w:rsidRPr="00025354" w:rsidRDefault="00CB6477" w:rsidP="00CB6477">
      <w:pPr>
        <w:pStyle w:val="NoSpacing"/>
        <w:jc w:val="both"/>
        <w:rPr>
          <w:lang w:val="uk-UA"/>
        </w:rPr>
      </w:pPr>
    </w:p>
    <w:p w:rsidR="00CB6477" w:rsidRPr="00025354" w:rsidRDefault="00CB6477" w:rsidP="00CB6477">
      <w:pPr>
        <w:pStyle w:val="NoSpacing"/>
        <w:ind w:firstLine="900"/>
        <w:jc w:val="both"/>
        <w:rPr>
          <w:rStyle w:val="FontStyle13"/>
          <w:sz w:val="28"/>
          <w:szCs w:val="28"/>
          <w:lang w:val="uk-UA" w:eastAsia="uk-UA"/>
        </w:rPr>
      </w:pPr>
      <w:r w:rsidRPr="00025354">
        <w:rPr>
          <w:rStyle w:val="FontStyle13"/>
          <w:sz w:val="28"/>
          <w:szCs w:val="28"/>
          <w:lang w:val="uk-UA" w:eastAsia="uk-UA"/>
        </w:rPr>
        <w:t>Ми, депутати Чернівецької обласної ради, поділяємо стурбованість депутатів Сумської обласної ради ситуацією, що склалася у сфері використання земельних ресурсів, а саме: щодо розпорядження землями сільськогосподарського призначення державної власності.</w:t>
      </w:r>
    </w:p>
    <w:p w:rsidR="00CB6477" w:rsidRPr="00025354" w:rsidRDefault="00CB6477" w:rsidP="00CB6477">
      <w:pPr>
        <w:pStyle w:val="NoSpacing"/>
        <w:ind w:firstLine="900"/>
        <w:jc w:val="both"/>
        <w:rPr>
          <w:rStyle w:val="FontStyle13"/>
          <w:sz w:val="28"/>
          <w:szCs w:val="28"/>
          <w:lang w:val="uk-UA" w:eastAsia="uk-UA"/>
        </w:rPr>
      </w:pPr>
      <w:r w:rsidRPr="00025354">
        <w:rPr>
          <w:rStyle w:val="FontStyle13"/>
          <w:sz w:val="28"/>
          <w:szCs w:val="28"/>
          <w:lang w:val="uk-UA" w:eastAsia="uk-UA"/>
        </w:rPr>
        <w:t xml:space="preserve">З 1 січня 2013 року набули чинності зміни до Земельного кодексу України, які наділили </w:t>
      </w:r>
      <w:r w:rsidRPr="00B060CC">
        <w:rPr>
          <w:rStyle w:val="FontStyle13"/>
          <w:sz w:val="28"/>
          <w:szCs w:val="28"/>
          <w:lang w:val="uk-UA" w:eastAsia="uk-UA"/>
        </w:rPr>
        <w:t>Держану службу України з питань геодезії, картографії та кадастру і її територіальні органи</w:t>
      </w:r>
      <w:r w:rsidRPr="00025354">
        <w:rPr>
          <w:rStyle w:val="FontStyle13"/>
          <w:sz w:val="28"/>
          <w:szCs w:val="28"/>
          <w:lang w:val="uk-UA" w:eastAsia="uk-UA"/>
        </w:rPr>
        <w:t xml:space="preserve"> обласного рівня повноваженнями розпоряджатися землями сільськогосподарського призначення, що перебувають у державній власності за межами населених пунктів.</w:t>
      </w:r>
    </w:p>
    <w:p w:rsidR="00CB6477" w:rsidRPr="00025354" w:rsidRDefault="00CB6477" w:rsidP="00CB6477">
      <w:pPr>
        <w:pStyle w:val="NoSpacing"/>
        <w:ind w:firstLine="900"/>
        <w:jc w:val="both"/>
        <w:rPr>
          <w:rStyle w:val="FontStyle13"/>
          <w:sz w:val="28"/>
          <w:szCs w:val="28"/>
          <w:lang w:val="uk-UA" w:eastAsia="uk-UA"/>
        </w:rPr>
      </w:pPr>
      <w:proofErr w:type="spellStart"/>
      <w:r w:rsidRPr="00B060CC">
        <w:rPr>
          <w:rStyle w:val="FontStyle13"/>
          <w:sz w:val="28"/>
          <w:szCs w:val="28"/>
          <w:lang w:val="uk-UA" w:eastAsia="uk-UA"/>
        </w:rPr>
        <w:t>Держгеокадастр</w:t>
      </w:r>
      <w:proofErr w:type="spellEnd"/>
      <w:r w:rsidRPr="00025354">
        <w:rPr>
          <w:rStyle w:val="FontStyle13"/>
          <w:sz w:val="28"/>
          <w:szCs w:val="28"/>
          <w:lang w:val="uk-UA" w:eastAsia="uk-UA"/>
        </w:rPr>
        <w:t xml:space="preserve"> України та його територіальні органи отримали повноваження від імені держави приймати рішення про передачу таких земель у власність та користування для всіх потреб, крім випадків, передбачених законодавством. До прийняття зазначених змін ці функції виконували районні державні адміністрації.</w:t>
      </w:r>
    </w:p>
    <w:p w:rsidR="00CB6477" w:rsidRPr="00025354" w:rsidRDefault="00CB6477" w:rsidP="00CB6477">
      <w:pPr>
        <w:pStyle w:val="NoSpacing"/>
        <w:ind w:firstLine="993"/>
        <w:jc w:val="both"/>
        <w:rPr>
          <w:rStyle w:val="FontStyle13"/>
          <w:sz w:val="28"/>
          <w:szCs w:val="28"/>
          <w:lang w:val="uk-UA" w:eastAsia="uk-UA"/>
        </w:rPr>
      </w:pPr>
      <w:r w:rsidRPr="00025354">
        <w:rPr>
          <w:rStyle w:val="FontStyle13"/>
          <w:sz w:val="28"/>
          <w:szCs w:val="28"/>
          <w:lang w:val="uk-UA" w:eastAsia="uk-UA"/>
        </w:rPr>
        <w:t>Економічної доцільності з точки зору більш ефективного управління земельними ресурсами зміни у законодавстві не принесли, адже осторонь цього питання залишились органи місцевого самоврядування, які відповідають за підготовку та виконання місцевих бюджетів, а також звітують про виконання відповідних бюджетів та бюджетних програм перед місцевими громадами. Саме органи місцевого самоврядування є найбільш зацікавленими у збільшенні надходжень до їх бюджетів та ефективному використанні земель як природного ресурсу.</w:t>
      </w:r>
    </w:p>
    <w:p w:rsidR="00CB6477" w:rsidRPr="00025354" w:rsidRDefault="00CB6477" w:rsidP="00CB6477">
      <w:pPr>
        <w:pStyle w:val="NoSpacing"/>
        <w:ind w:firstLine="900"/>
        <w:jc w:val="both"/>
        <w:rPr>
          <w:rStyle w:val="FontStyle13"/>
          <w:sz w:val="28"/>
          <w:szCs w:val="28"/>
          <w:lang w:val="uk-UA" w:eastAsia="uk-UA"/>
        </w:rPr>
      </w:pPr>
      <w:r w:rsidRPr="00025354">
        <w:rPr>
          <w:rStyle w:val="FontStyle13"/>
          <w:sz w:val="28"/>
          <w:szCs w:val="28"/>
          <w:lang w:val="uk-UA" w:eastAsia="uk-UA"/>
        </w:rPr>
        <w:t>Крім того, наділення повноваженнями із розпорядження землями, розташованими за межами населених пунктів, органів виконавчої влади, які здебільшого територіально розташовані в обласних центрах держави, не сприяє доступності адміністративних послуг, які вони надають, у першу чергу для сільського населення.</w:t>
      </w:r>
    </w:p>
    <w:p w:rsidR="00CB6477" w:rsidRPr="00025354" w:rsidRDefault="00CB6477" w:rsidP="00CB6477">
      <w:pPr>
        <w:pStyle w:val="NoSpacing"/>
        <w:ind w:firstLine="900"/>
        <w:jc w:val="both"/>
        <w:rPr>
          <w:rStyle w:val="FontStyle13"/>
          <w:sz w:val="28"/>
          <w:szCs w:val="28"/>
          <w:lang w:val="uk-UA" w:eastAsia="uk-UA"/>
        </w:rPr>
      </w:pPr>
      <w:r w:rsidRPr="00025354">
        <w:rPr>
          <w:rStyle w:val="FontStyle13"/>
          <w:sz w:val="28"/>
          <w:szCs w:val="28"/>
          <w:lang w:val="uk-UA" w:eastAsia="uk-UA"/>
        </w:rPr>
        <w:t>З метою оптимізації та децентралізації процесу управління державними землями сільськогосподарського призначення, збільшення доходної частини бюджету за рахунок росту надходжень від плати за землю, а також посилення механізму контролю за використанням та охороною земель на території відповідних сільських (селищних) рад просимо передати органам місцевого самоврядування повноваження з розпорядження землями сільськогосподарського призначення державної власності на території, що включена до адміністративних меж місцевої ради, шляхом внесення відповідних змін до ст.122 Земельного кодексу України та ст.26 Закону України "Про місцеве самоврядування в Україні".</w:t>
      </w:r>
    </w:p>
    <w:p w:rsidR="00CB6477" w:rsidRPr="00025354" w:rsidRDefault="00CB6477" w:rsidP="00CB6477">
      <w:pPr>
        <w:pStyle w:val="NoSpacing"/>
        <w:ind w:firstLine="900"/>
        <w:jc w:val="both"/>
        <w:rPr>
          <w:rStyle w:val="FontStyle13"/>
          <w:sz w:val="28"/>
          <w:szCs w:val="28"/>
          <w:lang w:val="uk-UA" w:eastAsia="uk-UA"/>
        </w:rPr>
      </w:pPr>
      <w:r w:rsidRPr="00025354">
        <w:rPr>
          <w:rStyle w:val="FontStyle13"/>
          <w:sz w:val="28"/>
          <w:szCs w:val="28"/>
          <w:lang w:val="uk-UA" w:eastAsia="uk-UA"/>
        </w:rPr>
        <w:t xml:space="preserve">Прийняття відповідного законопроекту сприятиме зниженню соціальної напруги серед громадян шляхом наближення до них органів, які приймають відповідні рішення із земельних питань, підвищенню довіри до </w:t>
      </w:r>
      <w:r w:rsidRPr="00025354">
        <w:rPr>
          <w:rStyle w:val="FontStyle13"/>
          <w:sz w:val="28"/>
          <w:szCs w:val="28"/>
          <w:lang w:val="uk-UA" w:eastAsia="uk-UA"/>
        </w:rPr>
        <w:lastRenderedPageBreak/>
        <w:t>місцевих органів виконавчої влади та органів місцевого самоврядування, а також посиленню механізму контролю за управлінськими рішеннями щодо таких земель з боку територіальних громад.</w:t>
      </w:r>
    </w:p>
    <w:p w:rsidR="00CB6477" w:rsidRPr="00025354" w:rsidRDefault="00CB6477" w:rsidP="00CB6477">
      <w:pPr>
        <w:pStyle w:val="NoSpacing"/>
        <w:ind w:firstLine="900"/>
        <w:jc w:val="both"/>
        <w:rPr>
          <w:rStyle w:val="FontStyle13"/>
          <w:sz w:val="28"/>
          <w:szCs w:val="28"/>
          <w:lang w:val="uk-UA" w:eastAsia="uk-UA"/>
        </w:rPr>
      </w:pPr>
      <w:r w:rsidRPr="00025354">
        <w:rPr>
          <w:rStyle w:val="FontStyle13"/>
          <w:sz w:val="28"/>
          <w:szCs w:val="28"/>
          <w:lang w:val="uk-UA" w:eastAsia="uk-UA"/>
        </w:rPr>
        <w:t xml:space="preserve">Усе це в свою чергу стане вагомим підґрунтям для формування об'єднаних самодостатніх громад, які будуть володіти відповідними матеріальними та фінансовими ресурсами, територією та об'єктами соціальної інфраструктури, необхідними для ефективного самоврядування, адже земля є основним ресурсом наповнення місцевих бюджетів сільських та селищних громад. Крім того, виконання зазначених функцій саме органами місцевого самоврядування є поширеною міжнародною практикою розвинених країн. Сподіваємось, що спільними зусиллями ми вирішимо проблемні питання землекористування та забезпечимо ефективне використання найбільшого багатства нашої країни </w:t>
      </w:r>
      <w:r>
        <w:rPr>
          <w:rStyle w:val="FontStyle13"/>
          <w:sz w:val="28"/>
          <w:szCs w:val="28"/>
          <w:lang w:val="uk-UA" w:eastAsia="uk-UA"/>
        </w:rPr>
        <w:t>–</w:t>
      </w:r>
      <w:r w:rsidRPr="00025354">
        <w:rPr>
          <w:rStyle w:val="FontStyle13"/>
          <w:sz w:val="28"/>
          <w:szCs w:val="28"/>
          <w:lang w:val="uk-UA" w:eastAsia="uk-UA"/>
        </w:rPr>
        <w:t xml:space="preserve"> її</w:t>
      </w:r>
      <w:r>
        <w:rPr>
          <w:rStyle w:val="FontStyle13"/>
          <w:sz w:val="28"/>
          <w:szCs w:val="28"/>
          <w:lang w:val="uk-UA" w:eastAsia="uk-UA"/>
        </w:rPr>
        <w:t xml:space="preserve"> </w:t>
      </w:r>
      <w:r w:rsidRPr="00025354">
        <w:rPr>
          <w:rStyle w:val="FontStyle13"/>
          <w:sz w:val="28"/>
          <w:szCs w:val="28"/>
          <w:lang w:val="uk-UA" w:eastAsia="uk-UA"/>
        </w:rPr>
        <w:t>земельних ресурсів.</w:t>
      </w:r>
    </w:p>
    <w:p w:rsidR="00CB6477" w:rsidRPr="00025354" w:rsidRDefault="00CB6477" w:rsidP="00CB6477">
      <w:pPr>
        <w:jc w:val="both"/>
        <w:rPr>
          <w:rFonts w:ascii="Times New Roman" w:hAnsi="Times New Roman"/>
        </w:rPr>
      </w:pPr>
    </w:p>
    <w:p w:rsidR="00CB6477" w:rsidRDefault="00CB6477" w:rsidP="00CB6477">
      <w:pPr>
        <w:ind w:firstLine="708"/>
        <w:jc w:val="right"/>
        <w:rPr>
          <w:rFonts w:ascii="Times New Roman" w:hAnsi="Times New Roman"/>
          <w:i/>
          <w:iCs/>
          <w:szCs w:val="28"/>
        </w:rPr>
      </w:pPr>
    </w:p>
    <w:p w:rsidR="00CB6477" w:rsidRPr="00025354" w:rsidRDefault="00CB6477" w:rsidP="00CB6477">
      <w:pPr>
        <w:ind w:firstLine="708"/>
        <w:jc w:val="right"/>
        <w:rPr>
          <w:rFonts w:ascii="Times New Roman" w:hAnsi="Times New Roman"/>
          <w:i/>
          <w:iCs/>
          <w:szCs w:val="28"/>
        </w:rPr>
      </w:pPr>
    </w:p>
    <w:p w:rsidR="00CB6477" w:rsidRPr="00025354" w:rsidRDefault="00CB6477" w:rsidP="00CB6477">
      <w:pPr>
        <w:ind w:firstLine="708"/>
        <w:jc w:val="right"/>
        <w:rPr>
          <w:rFonts w:ascii="Times New Roman" w:hAnsi="Times New Roman"/>
          <w:i/>
          <w:iCs/>
          <w:szCs w:val="28"/>
        </w:rPr>
      </w:pPr>
      <w:r w:rsidRPr="00025354">
        <w:rPr>
          <w:rFonts w:ascii="Times New Roman" w:hAnsi="Times New Roman"/>
          <w:i/>
          <w:iCs/>
          <w:szCs w:val="28"/>
        </w:rPr>
        <w:t>Прийнято на 4-й сесії</w:t>
      </w:r>
    </w:p>
    <w:p w:rsidR="00CB6477" w:rsidRPr="00025354" w:rsidRDefault="00CB6477" w:rsidP="00CB6477">
      <w:pPr>
        <w:ind w:firstLine="708"/>
        <w:jc w:val="right"/>
        <w:rPr>
          <w:rFonts w:ascii="Times New Roman" w:hAnsi="Times New Roman"/>
          <w:i/>
          <w:iCs/>
          <w:szCs w:val="28"/>
        </w:rPr>
      </w:pPr>
      <w:r w:rsidRPr="00025354">
        <w:rPr>
          <w:rFonts w:ascii="Times New Roman" w:hAnsi="Times New Roman"/>
          <w:i/>
          <w:iCs/>
          <w:szCs w:val="28"/>
        </w:rPr>
        <w:t>Чернівецької обласної ради</w:t>
      </w:r>
    </w:p>
    <w:p w:rsidR="00CB6477" w:rsidRPr="00025354" w:rsidRDefault="00CB6477" w:rsidP="00CB6477">
      <w:pPr>
        <w:ind w:firstLine="708"/>
        <w:jc w:val="right"/>
        <w:rPr>
          <w:rFonts w:ascii="Times New Roman" w:hAnsi="Times New Roman"/>
          <w:i/>
          <w:iCs/>
          <w:szCs w:val="28"/>
        </w:rPr>
      </w:pPr>
      <w:r w:rsidRPr="00025354">
        <w:rPr>
          <w:rFonts w:ascii="Times New Roman" w:hAnsi="Times New Roman"/>
          <w:i/>
          <w:iCs/>
          <w:szCs w:val="28"/>
        </w:rPr>
        <w:t>VIІ скликання від 15.03.2016 р.</w:t>
      </w:r>
    </w:p>
    <w:p w:rsidR="009A220E" w:rsidRDefault="009A220E"/>
    <w:sectPr w:rsidR="009A220E" w:rsidSect="00B060CC">
      <w:pgSz w:w="11909" w:h="16834"/>
      <w:pgMar w:top="993" w:right="1109" w:bottom="993"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UkrainianTimesET">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compat/>
  <w:rsids>
    <w:rsidRoot w:val="00CB6477"/>
    <w:rsid w:val="002A3CAB"/>
    <w:rsid w:val="009A220E"/>
    <w:rsid w:val="00CB64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477"/>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basedOn w:val="a0"/>
    <w:rsid w:val="00CB6477"/>
    <w:rPr>
      <w:rFonts w:ascii="Times New Roman" w:hAnsi="Times New Roman" w:cs="Times New Roman"/>
      <w:b/>
      <w:bCs/>
      <w:spacing w:val="10"/>
      <w:sz w:val="24"/>
      <w:szCs w:val="24"/>
    </w:rPr>
  </w:style>
  <w:style w:type="character" w:customStyle="1" w:styleId="FontStyle13">
    <w:name w:val="Font Style13"/>
    <w:basedOn w:val="a0"/>
    <w:rsid w:val="00CB6477"/>
    <w:rPr>
      <w:rFonts w:ascii="Times New Roman" w:hAnsi="Times New Roman" w:cs="Times New Roman"/>
      <w:sz w:val="18"/>
      <w:szCs w:val="18"/>
    </w:rPr>
  </w:style>
  <w:style w:type="paragraph" w:customStyle="1" w:styleId="NoSpacing">
    <w:name w:val="No Spacing"/>
    <w:rsid w:val="00CB6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3161</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2016-03-23T11:43:00Z</dcterms:created>
  <dcterms:modified xsi:type="dcterms:W3CDTF">2016-03-23T11:44:00Z</dcterms:modified>
</cp:coreProperties>
</file>