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64" w:rsidRPr="00CA2A98" w:rsidRDefault="00183B64" w:rsidP="0068164E">
      <w:pPr>
        <w:jc w:val="center"/>
        <w:rPr>
          <w:b/>
          <w:lang w:val="uk-UA"/>
        </w:rPr>
      </w:pPr>
    </w:p>
    <w:p w:rsidR="005A102B" w:rsidRPr="00CA2A98" w:rsidRDefault="005A102B" w:rsidP="0068164E">
      <w:pPr>
        <w:jc w:val="center"/>
        <w:rPr>
          <w:b/>
          <w:lang w:val="uk-UA"/>
        </w:rPr>
      </w:pPr>
    </w:p>
    <w:p w:rsidR="0068164E" w:rsidRPr="00CA2A98" w:rsidRDefault="0068164E" w:rsidP="0068164E">
      <w:pPr>
        <w:jc w:val="center"/>
        <w:rPr>
          <w:b/>
          <w:lang w:val="uk-UA"/>
        </w:rPr>
      </w:pPr>
      <w:r w:rsidRPr="00CA2A98">
        <w:rPr>
          <w:b/>
          <w:lang w:val="uk-UA"/>
        </w:rPr>
        <w:t>ІНФОРМАЦІЙНА ДОВІДКА</w:t>
      </w:r>
    </w:p>
    <w:p w:rsidR="0068164E" w:rsidRPr="00CA2A98" w:rsidRDefault="002F0C23" w:rsidP="0068164E">
      <w:pPr>
        <w:jc w:val="center"/>
        <w:rPr>
          <w:b/>
          <w:lang w:val="uk-UA"/>
        </w:rPr>
      </w:pPr>
      <w:r w:rsidRPr="00CA2A98">
        <w:rPr>
          <w:b/>
          <w:lang w:val="uk-UA"/>
        </w:rPr>
        <w:t>п</w:t>
      </w:r>
      <w:r w:rsidR="0068164E" w:rsidRPr="00CA2A98">
        <w:rPr>
          <w:b/>
          <w:lang w:val="uk-UA"/>
        </w:rPr>
        <w:t>ро</w:t>
      </w:r>
      <w:r w:rsidRPr="00CA2A98">
        <w:rPr>
          <w:b/>
          <w:lang w:val="uk-UA"/>
        </w:rPr>
        <w:t xml:space="preserve"> </w:t>
      </w:r>
      <w:r w:rsidR="0068164E" w:rsidRPr="00CA2A98">
        <w:rPr>
          <w:b/>
          <w:lang w:val="uk-UA"/>
        </w:rPr>
        <w:t>виконання Регіональної</w:t>
      </w:r>
      <w:r w:rsidRPr="00CA2A98">
        <w:rPr>
          <w:b/>
          <w:lang w:val="uk-UA"/>
        </w:rPr>
        <w:t xml:space="preserve"> </w:t>
      </w:r>
      <w:r w:rsidR="0068164E" w:rsidRPr="00CA2A98">
        <w:rPr>
          <w:b/>
          <w:lang w:val="uk-UA"/>
        </w:rPr>
        <w:t>програми</w:t>
      </w:r>
      <w:r w:rsidRPr="00CA2A98">
        <w:rPr>
          <w:b/>
          <w:lang w:val="uk-UA"/>
        </w:rPr>
        <w:t xml:space="preserve"> </w:t>
      </w:r>
      <w:r w:rsidR="0068164E" w:rsidRPr="00CA2A98">
        <w:rPr>
          <w:b/>
          <w:lang w:val="uk-UA"/>
        </w:rPr>
        <w:t>підтримки та розвитку комунального підприємства</w:t>
      </w:r>
      <w:r w:rsidRPr="00CA2A98">
        <w:rPr>
          <w:b/>
          <w:lang w:val="uk-UA"/>
        </w:rPr>
        <w:t xml:space="preserve"> </w:t>
      </w:r>
      <w:r w:rsidR="0068164E" w:rsidRPr="00CA2A98">
        <w:rPr>
          <w:b/>
          <w:lang w:val="uk-UA"/>
        </w:rPr>
        <w:t>«Дирекція з обслуговування майна спільної власності територіальних громад» на 2013 - 2015 роки»</w:t>
      </w:r>
    </w:p>
    <w:p w:rsidR="0068164E" w:rsidRPr="00CA2A98" w:rsidRDefault="0068164E" w:rsidP="0068164E">
      <w:pPr>
        <w:jc w:val="center"/>
        <w:rPr>
          <w:lang w:val="uk-UA"/>
        </w:rPr>
      </w:pPr>
    </w:p>
    <w:p w:rsidR="0068164E" w:rsidRPr="00CA2A98" w:rsidRDefault="0068164E" w:rsidP="0068164E">
      <w:pPr>
        <w:rPr>
          <w:b/>
          <w:lang w:val="uk-UA"/>
        </w:rPr>
      </w:pPr>
    </w:p>
    <w:p w:rsidR="005A102B" w:rsidRPr="00CA2A98" w:rsidRDefault="005A102B" w:rsidP="0068164E">
      <w:pPr>
        <w:rPr>
          <w:b/>
          <w:lang w:val="uk-UA"/>
        </w:rPr>
      </w:pPr>
    </w:p>
    <w:p w:rsidR="00183B64" w:rsidRPr="00CA2A98" w:rsidRDefault="00183B64" w:rsidP="0068164E">
      <w:pPr>
        <w:rPr>
          <w:b/>
          <w:lang w:val="uk-UA"/>
        </w:rPr>
      </w:pPr>
    </w:p>
    <w:p w:rsidR="00255040" w:rsidRPr="00CA2A98" w:rsidRDefault="0068164E" w:rsidP="0068164E">
      <w:pPr>
        <w:jc w:val="both"/>
        <w:rPr>
          <w:lang w:val="uk-UA"/>
        </w:rPr>
      </w:pPr>
      <w:r w:rsidRPr="00CA2A98">
        <w:rPr>
          <w:lang w:val="uk-UA"/>
        </w:rPr>
        <w:t xml:space="preserve">           Виконання Регіональної програми підтримки та розвитку комунального підприємства «Дирекція з обслуговування майна спільної власності територіальних громад» на 2013 - 2015 роки здійснювалось у відповідності:</w:t>
      </w:r>
    </w:p>
    <w:p w:rsidR="00255040" w:rsidRPr="00CA2A98" w:rsidRDefault="005A102B" w:rsidP="0068164E">
      <w:pPr>
        <w:jc w:val="both"/>
        <w:rPr>
          <w:lang w:val="uk-UA"/>
        </w:rPr>
      </w:pPr>
      <w:r w:rsidRPr="00CA2A98">
        <w:rPr>
          <w:lang w:val="uk-UA"/>
        </w:rPr>
        <w:t xml:space="preserve">         </w:t>
      </w:r>
      <w:r w:rsidR="00255040" w:rsidRPr="00CA2A98">
        <w:rPr>
          <w:lang w:val="uk-UA"/>
        </w:rPr>
        <w:t>- рішення</w:t>
      </w:r>
      <w:r w:rsidR="00CA2A98">
        <w:rPr>
          <w:lang w:val="uk-UA"/>
        </w:rPr>
        <w:t xml:space="preserve"> </w:t>
      </w:r>
      <w:r w:rsidR="00255040" w:rsidRPr="00CA2A98">
        <w:rPr>
          <w:lang w:val="uk-UA"/>
        </w:rPr>
        <w:t>XIV сесії обласної ради VI скликання від 25 грудня 2012 р. № 180-14/12, Про затвердження Регіональної програми підтримки та розвитку комунального підприємства «Дирекція з обслуговування майна спільної власності територіальних громад» на 2013 - 2015 роки;</w:t>
      </w:r>
    </w:p>
    <w:p w:rsidR="0068164E" w:rsidRPr="00CA2A98" w:rsidRDefault="005A102B" w:rsidP="0068164E">
      <w:pPr>
        <w:jc w:val="both"/>
        <w:rPr>
          <w:lang w:val="uk-UA"/>
        </w:rPr>
      </w:pPr>
      <w:r w:rsidRPr="00CA2A98">
        <w:rPr>
          <w:lang w:val="uk-UA"/>
        </w:rPr>
        <w:t xml:space="preserve">         </w:t>
      </w:r>
      <w:r w:rsidR="00255040" w:rsidRPr="00CA2A98">
        <w:rPr>
          <w:lang w:val="uk-UA"/>
        </w:rPr>
        <w:t>- рішення</w:t>
      </w:r>
      <w:r w:rsidR="00CA2A98">
        <w:rPr>
          <w:lang w:val="uk-UA"/>
        </w:rPr>
        <w:t xml:space="preserve"> </w:t>
      </w:r>
      <w:r w:rsidR="00255040" w:rsidRPr="00CA2A98">
        <w:rPr>
          <w:lang w:val="uk-UA"/>
        </w:rPr>
        <w:t>XХVІІІ сесії обласної ради VI скликання від 26 вересня 2014 р. № 112-28/14, Про внесення змін до Регіональної програми підтримки та розвитку комунального підприємства «Дирекція з обслуговування майна спільної власності територіальних громад» на 2013 - 2015 роки;</w:t>
      </w:r>
    </w:p>
    <w:p w:rsidR="00255040" w:rsidRPr="00CA2A98" w:rsidRDefault="005A102B" w:rsidP="00183B64">
      <w:pPr>
        <w:tabs>
          <w:tab w:val="left" w:pos="851"/>
        </w:tabs>
        <w:jc w:val="both"/>
        <w:rPr>
          <w:lang w:val="uk-UA"/>
        </w:rPr>
      </w:pPr>
      <w:r w:rsidRPr="00CA2A98">
        <w:rPr>
          <w:lang w:val="uk-UA"/>
        </w:rPr>
        <w:t xml:space="preserve">       </w:t>
      </w:r>
      <w:r w:rsidR="00255040" w:rsidRPr="00CA2A98">
        <w:rPr>
          <w:lang w:val="uk-UA"/>
        </w:rPr>
        <w:t>-  рішення</w:t>
      </w:r>
      <w:r w:rsidR="00CA2A98">
        <w:rPr>
          <w:lang w:val="uk-UA"/>
        </w:rPr>
        <w:t xml:space="preserve"> </w:t>
      </w:r>
      <w:r w:rsidR="00255040" w:rsidRPr="00CA2A98">
        <w:rPr>
          <w:lang w:val="uk-UA"/>
        </w:rPr>
        <w:t>XХХІ сесії обласної ради VI скликання від 18 червня 2015 р.           № 95-31/15, Про внесення змін до Регіональної програми підтримки та розвитку комунального підприємства «Дирекція з обслуговування майна спільної власності територіальних громад» на 2013 - 2015 роки;</w:t>
      </w:r>
    </w:p>
    <w:p w:rsidR="00255040" w:rsidRPr="00CA2A98" w:rsidRDefault="00255040" w:rsidP="00255040">
      <w:pPr>
        <w:jc w:val="both"/>
        <w:rPr>
          <w:lang w:val="uk-UA"/>
        </w:rPr>
      </w:pPr>
      <w:r w:rsidRPr="00CA2A98">
        <w:rPr>
          <w:lang w:val="uk-UA"/>
        </w:rPr>
        <w:t xml:space="preserve">        -  рішення</w:t>
      </w:r>
      <w:r w:rsidR="00CA2A98">
        <w:rPr>
          <w:lang w:val="uk-UA"/>
        </w:rPr>
        <w:t xml:space="preserve"> </w:t>
      </w:r>
      <w:r w:rsidRPr="00CA2A98">
        <w:rPr>
          <w:lang w:val="uk-UA"/>
        </w:rPr>
        <w:t>XХХІV сесії обласної ради VI скликання від 29 вересня 2015 р. № 112-28/14, Про внесення змін до Регіональної програми підтримки та розвитку комунального підприємства «Дирекція з обслуговування майна спільної власності територіальних громад» на 2013 - 2015 роки.</w:t>
      </w:r>
    </w:p>
    <w:p w:rsidR="00255040" w:rsidRPr="00CA2A98" w:rsidRDefault="005A102B" w:rsidP="00183B64">
      <w:pPr>
        <w:tabs>
          <w:tab w:val="left" w:pos="709"/>
          <w:tab w:val="left" w:pos="851"/>
        </w:tabs>
        <w:jc w:val="both"/>
        <w:rPr>
          <w:lang w:val="uk-UA"/>
        </w:rPr>
      </w:pPr>
      <w:r w:rsidRPr="00CA2A98">
        <w:rPr>
          <w:lang w:val="uk-UA"/>
        </w:rPr>
        <w:t xml:space="preserve">        </w:t>
      </w:r>
      <w:proofErr w:type="spellStart"/>
      <w:r w:rsidR="00255040" w:rsidRPr="00CA2A98">
        <w:rPr>
          <w:lang w:val="uk-UA"/>
        </w:rPr>
        <w:t>Співрозробники</w:t>
      </w:r>
      <w:proofErr w:type="spellEnd"/>
      <w:r w:rsidRPr="00CA2A98">
        <w:rPr>
          <w:lang w:val="uk-UA"/>
        </w:rPr>
        <w:t xml:space="preserve"> </w:t>
      </w:r>
      <w:r w:rsidR="00255040" w:rsidRPr="00CA2A98">
        <w:rPr>
          <w:lang w:val="uk-UA"/>
        </w:rPr>
        <w:t>Регіональної програми</w:t>
      </w:r>
      <w:r w:rsidRPr="00CA2A98">
        <w:rPr>
          <w:lang w:val="uk-UA"/>
        </w:rPr>
        <w:t xml:space="preserve"> </w:t>
      </w:r>
      <w:r w:rsidR="00255040" w:rsidRPr="00CA2A98">
        <w:rPr>
          <w:lang w:val="uk-UA"/>
        </w:rPr>
        <w:t>Чернівецька</w:t>
      </w:r>
      <w:r w:rsidRPr="00CA2A98">
        <w:rPr>
          <w:lang w:val="uk-UA"/>
        </w:rPr>
        <w:t xml:space="preserve"> </w:t>
      </w:r>
      <w:r w:rsidR="00255040" w:rsidRPr="00CA2A98">
        <w:rPr>
          <w:lang w:val="uk-UA"/>
        </w:rPr>
        <w:t>обласна рада та Чернівецька</w:t>
      </w:r>
      <w:r w:rsidRPr="00CA2A98">
        <w:rPr>
          <w:lang w:val="uk-UA"/>
        </w:rPr>
        <w:t xml:space="preserve"> </w:t>
      </w:r>
      <w:r w:rsidR="00255040" w:rsidRPr="00CA2A98">
        <w:rPr>
          <w:lang w:val="uk-UA"/>
        </w:rPr>
        <w:t>обласна</w:t>
      </w:r>
      <w:r w:rsidRPr="00CA2A98">
        <w:rPr>
          <w:lang w:val="uk-UA"/>
        </w:rPr>
        <w:t xml:space="preserve"> </w:t>
      </w:r>
      <w:r w:rsidR="00255040" w:rsidRPr="00CA2A98">
        <w:rPr>
          <w:lang w:val="uk-UA"/>
        </w:rPr>
        <w:t>державна</w:t>
      </w:r>
      <w:r w:rsidRPr="00CA2A98">
        <w:rPr>
          <w:lang w:val="uk-UA"/>
        </w:rPr>
        <w:t xml:space="preserve"> </w:t>
      </w:r>
      <w:r w:rsidR="00255040" w:rsidRPr="00CA2A98">
        <w:rPr>
          <w:lang w:val="uk-UA"/>
        </w:rPr>
        <w:t>адміністрація.</w:t>
      </w:r>
    </w:p>
    <w:p w:rsidR="00255040" w:rsidRPr="00CA2A98" w:rsidRDefault="005A102B" w:rsidP="0087358D">
      <w:pPr>
        <w:tabs>
          <w:tab w:val="left" w:pos="8292"/>
          <w:tab w:val="left" w:pos="8363"/>
        </w:tabs>
        <w:ind w:right="-7"/>
        <w:contextualSpacing/>
        <w:jc w:val="both"/>
        <w:rPr>
          <w:rStyle w:val="FontStyle15"/>
          <w:sz w:val="28"/>
          <w:szCs w:val="28"/>
          <w:lang w:val="uk-UA" w:eastAsia="uk-UA"/>
        </w:rPr>
      </w:pPr>
      <w:r w:rsidRPr="00CA2A98">
        <w:rPr>
          <w:lang w:val="uk-UA"/>
        </w:rPr>
        <w:t xml:space="preserve">        </w:t>
      </w:r>
      <w:r w:rsidR="00255040" w:rsidRPr="00CA2A98">
        <w:rPr>
          <w:lang w:val="uk-UA"/>
        </w:rPr>
        <w:t>Відповідальний</w:t>
      </w:r>
      <w:r w:rsidRPr="00CA2A98">
        <w:rPr>
          <w:lang w:val="uk-UA"/>
        </w:rPr>
        <w:t xml:space="preserve"> </w:t>
      </w:r>
      <w:r w:rsidR="00255040" w:rsidRPr="00CA2A98">
        <w:rPr>
          <w:lang w:val="uk-UA"/>
        </w:rPr>
        <w:t>виконавець</w:t>
      </w:r>
      <w:r w:rsidRPr="00CA2A98">
        <w:rPr>
          <w:lang w:val="uk-UA"/>
        </w:rPr>
        <w:t xml:space="preserve"> </w:t>
      </w:r>
      <w:r w:rsidR="00255040" w:rsidRPr="00CA2A98">
        <w:rPr>
          <w:lang w:val="uk-UA"/>
        </w:rPr>
        <w:t>Регіональної</w:t>
      </w:r>
      <w:r w:rsidRPr="00CA2A98">
        <w:rPr>
          <w:lang w:val="uk-UA"/>
        </w:rPr>
        <w:t xml:space="preserve"> </w:t>
      </w:r>
      <w:r w:rsidR="00255040" w:rsidRPr="00CA2A98">
        <w:rPr>
          <w:lang w:val="uk-UA"/>
        </w:rPr>
        <w:t>програми</w:t>
      </w:r>
      <w:r w:rsidRPr="00CA2A98">
        <w:rPr>
          <w:lang w:val="uk-UA"/>
        </w:rPr>
        <w:t xml:space="preserve"> </w:t>
      </w:r>
      <w:r w:rsidR="00255040" w:rsidRPr="00CA2A98">
        <w:rPr>
          <w:rStyle w:val="FontStyle15"/>
          <w:sz w:val="28"/>
          <w:szCs w:val="28"/>
          <w:lang w:val="uk-UA" w:eastAsia="uk-UA"/>
        </w:rPr>
        <w:t>комунальне</w:t>
      </w:r>
      <w:r w:rsidRPr="00CA2A98">
        <w:rPr>
          <w:rStyle w:val="FontStyle15"/>
          <w:sz w:val="28"/>
          <w:szCs w:val="28"/>
          <w:lang w:val="uk-UA" w:eastAsia="uk-UA"/>
        </w:rPr>
        <w:t xml:space="preserve"> </w:t>
      </w:r>
      <w:r w:rsidR="00255040" w:rsidRPr="00CA2A98">
        <w:rPr>
          <w:rStyle w:val="FontStyle15"/>
          <w:sz w:val="28"/>
          <w:szCs w:val="28"/>
          <w:lang w:val="uk-UA" w:eastAsia="uk-UA"/>
        </w:rPr>
        <w:t>підприємство ”Дирекція з обслуговування майна спільної</w:t>
      </w:r>
      <w:r w:rsidRPr="00CA2A98">
        <w:rPr>
          <w:rStyle w:val="FontStyle15"/>
          <w:sz w:val="28"/>
          <w:szCs w:val="28"/>
          <w:lang w:val="uk-UA" w:eastAsia="uk-UA"/>
        </w:rPr>
        <w:t xml:space="preserve"> </w:t>
      </w:r>
      <w:r w:rsidR="00255040" w:rsidRPr="00CA2A98">
        <w:rPr>
          <w:rStyle w:val="FontStyle15"/>
          <w:sz w:val="28"/>
          <w:szCs w:val="28"/>
          <w:lang w:val="uk-UA" w:eastAsia="uk-UA"/>
        </w:rPr>
        <w:t>власності</w:t>
      </w:r>
      <w:r w:rsidRPr="00CA2A98">
        <w:rPr>
          <w:rStyle w:val="FontStyle15"/>
          <w:sz w:val="28"/>
          <w:szCs w:val="28"/>
          <w:lang w:val="uk-UA" w:eastAsia="uk-UA"/>
        </w:rPr>
        <w:t xml:space="preserve"> </w:t>
      </w:r>
      <w:r w:rsidR="00255040" w:rsidRPr="00CA2A98">
        <w:rPr>
          <w:rStyle w:val="FontStyle15"/>
          <w:sz w:val="28"/>
          <w:szCs w:val="28"/>
          <w:lang w:val="uk-UA" w:eastAsia="uk-UA"/>
        </w:rPr>
        <w:t xml:space="preserve">територіальних громад”. </w:t>
      </w:r>
    </w:p>
    <w:p w:rsidR="00183B64" w:rsidRPr="00CA2A98" w:rsidRDefault="00255040" w:rsidP="0087358D">
      <w:pPr>
        <w:jc w:val="both"/>
        <w:rPr>
          <w:lang w:val="uk-UA"/>
        </w:rPr>
      </w:pPr>
      <w:r w:rsidRPr="00CA2A98">
        <w:rPr>
          <w:rStyle w:val="FontStyle15"/>
          <w:sz w:val="28"/>
          <w:szCs w:val="28"/>
          <w:lang w:val="uk-UA" w:eastAsia="uk-UA"/>
        </w:rPr>
        <w:t xml:space="preserve">         В ході виконання </w:t>
      </w:r>
      <w:r w:rsidR="0087358D" w:rsidRPr="00CA2A98">
        <w:rPr>
          <w:rStyle w:val="FontStyle15"/>
          <w:sz w:val="28"/>
          <w:szCs w:val="28"/>
          <w:lang w:val="uk-UA" w:eastAsia="uk-UA"/>
        </w:rPr>
        <w:t xml:space="preserve">заходів </w:t>
      </w:r>
      <w:r w:rsidRPr="00CA2A98">
        <w:rPr>
          <w:lang w:val="uk-UA"/>
        </w:rPr>
        <w:t>Регіональної</w:t>
      </w:r>
      <w:r w:rsidR="005A102B" w:rsidRPr="00CA2A98">
        <w:rPr>
          <w:lang w:val="uk-UA"/>
        </w:rPr>
        <w:t xml:space="preserve"> </w:t>
      </w:r>
      <w:r w:rsidRPr="00CA2A98">
        <w:rPr>
          <w:lang w:val="uk-UA"/>
        </w:rPr>
        <w:t>програми</w:t>
      </w:r>
      <w:r w:rsidR="005A102B" w:rsidRPr="00CA2A98">
        <w:rPr>
          <w:lang w:val="uk-UA"/>
        </w:rPr>
        <w:t xml:space="preserve"> </w:t>
      </w:r>
      <w:r w:rsidR="0087358D" w:rsidRPr="00CA2A98">
        <w:rPr>
          <w:lang w:val="uk-UA"/>
        </w:rPr>
        <w:t>підтримки та розвитку</w:t>
      </w:r>
      <w:r w:rsidR="005A102B" w:rsidRPr="00CA2A98">
        <w:rPr>
          <w:lang w:val="uk-UA"/>
        </w:rPr>
        <w:t xml:space="preserve"> </w:t>
      </w:r>
      <w:r w:rsidR="0087358D" w:rsidRPr="00CA2A98">
        <w:rPr>
          <w:rStyle w:val="FontStyle15"/>
          <w:sz w:val="28"/>
          <w:szCs w:val="28"/>
          <w:lang w:val="uk-UA" w:eastAsia="uk-UA"/>
        </w:rPr>
        <w:t>комунального</w:t>
      </w:r>
      <w:r w:rsidR="005A102B" w:rsidRPr="00CA2A98">
        <w:rPr>
          <w:rStyle w:val="FontStyle15"/>
          <w:sz w:val="28"/>
          <w:szCs w:val="28"/>
          <w:lang w:val="uk-UA" w:eastAsia="uk-UA"/>
        </w:rPr>
        <w:t xml:space="preserve"> </w:t>
      </w:r>
      <w:r w:rsidR="0087358D" w:rsidRPr="00CA2A98">
        <w:rPr>
          <w:rStyle w:val="FontStyle15"/>
          <w:sz w:val="28"/>
          <w:szCs w:val="28"/>
          <w:lang w:val="uk-UA" w:eastAsia="uk-UA"/>
        </w:rPr>
        <w:t>підприємства</w:t>
      </w:r>
      <w:r w:rsidRPr="00CA2A98">
        <w:rPr>
          <w:rStyle w:val="FontStyle15"/>
          <w:sz w:val="28"/>
          <w:szCs w:val="28"/>
          <w:lang w:val="uk-UA" w:eastAsia="uk-UA"/>
        </w:rPr>
        <w:t xml:space="preserve"> ”Дирекція з обслуговування майна спільної</w:t>
      </w:r>
      <w:r w:rsidR="005A102B" w:rsidRPr="00CA2A98">
        <w:rPr>
          <w:rStyle w:val="FontStyle15"/>
          <w:sz w:val="28"/>
          <w:szCs w:val="28"/>
          <w:lang w:val="uk-UA" w:eastAsia="uk-UA"/>
        </w:rPr>
        <w:t xml:space="preserve"> </w:t>
      </w:r>
      <w:r w:rsidRPr="00CA2A98">
        <w:rPr>
          <w:rStyle w:val="FontStyle15"/>
          <w:sz w:val="28"/>
          <w:szCs w:val="28"/>
          <w:lang w:val="uk-UA" w:eastAsia="uk-UA"/>
        </w:rPr>
        <w:t>власності</w:t>
      </w:r>
      <w:r w:rsidR="00CA2A98">
        <w:rPr>
          <w:rStyle w:val="FontStyle15"/>
          <w:sz w:val="28"/>
          <w:szCs w:val="28"/>
          <w:lang w:val="uk-UA" w:eastAsia="uk-UA"/>
        </w:rPr>
        <w:t xml:space="preserve"> </w:t>
      </w:r>
      <w:r w:rsidRPr="00CA2A98">
        <w:rPr>
          <w:rStyle w:val="FontStyle15"/>
          <w:sz w:val="28"/>
          <w:szCs w:val="28"/>
          <w:lang w:val="uk-UA" w:eastAsia="uk-UA"/>
        </w:rPr>
        <w:t>територіальних громад” на 2013-2015 роки</w:t>
      </w:r>
      <w:r w:rsidR="0087358D" w:rsidRPr="00CA2A98">
        <w:rPr>
          <w:rStyle w:val="FontStyle15"/>
          <w:sz w:val="28"/>
          <w:szCs w:val="28"/>
          <w:lang w:val="uk-UA" w:eastAsia="uk-UA"/>
        </w:rPr>
        <w:t xml:space="preserve"> вжито наступних заходів:</w:t>
      </w:r>
    </w:p>
    <w:p w:rsidR="00183B64" w:rsidRPr="00CA2A98" w:rsidRDefault="00183B64" w:rsidP="0087358D">
      <w:pPr>
        <w:jc w:val="both"/>
        <w:rPr>
          <w:lang w:val="uk-UA"/>
        </w:rPr>
      </w:pPr>
    </w:p>
    <w:p w:rsidR="0087358D" w:rsidRPr="00CA2A98" w:rsidRDefault="0087358D" w:rsidP="0087358D">
      <w:pPr>
        <w:jc w:val="both"/>
        <w:rPr>
          <w:i/>
          <w:lang w:val="uk-UA"/>
        </w:rPr>
      </w:pPr>
      <w:r w:rsidRPr="00CA2A98">
        <w:rPr>
          <w:i/>
          <w:lang w:val="uk-UA"/>
        </w:rPr>
        <w:lastRenderedPageBreak/>
        <w:t xml:space="preserve">     </w:t>
      </w:r>
      <w:r w:rsidR="006B2F15" w:rsidRPr="00CA2A98">
        <w:rPr>
          <w:i/>
          <w:lang w:val="uk-UA"/>
        </w:rPr>
        <w:t xml:space="preserve"> </w:t>
      </w:r>
      <w:r w:rsidRPr="00CA2A98">
        <w:rPr>
          <w:i/>
          <w:lang w:val="uk-UA"/>
        </w:rPr>
        <w:t xml:space="preserve">   І. </w:t>
      </w:r>
      <w:r w:rsidR="00A70406" w:rsidRPr="00CA2A98">
        <w:rPr>
          <w:i/>
          <w:lang w:val="uk-UA"/>
        </w:rPr>
        <w:t>Забезпечено належне утримання, технічну експлуатацію, санітарне</w:t>
      </w:r>
      <w:r w:rsidRPr="00CA2A98">
        <w:rPr>
          <w:i/>
          <w:lang w:val="uk-UA"/>
        </w:rPr>
        <w:t xml:space="preserve"> обслуговування пам’ятки архітектури «Палац юстиції» та інших приміщень комунального підприємства,  проведення ремонту, створення належних умов праці для всіх підрозділів, що здійснюють свою діяльність.</w:t>
      </w:r>
    </w:p>
    <w:p w:rsidR="00183B64" w:rsidRPr="00CA2A98" w:rsidRDefault="00183B64" w:rsidP="0087358D">
      <w:pPr>
        <w:jc w:val="both"/>
        <w:rPr>
          <w:i/>
          <w:sz w:val="16"/>
          <w:szCs w:val="16"/>
          <w:lang w:val="uk-UA"/>
        </w:rPr>
      </w:pPr>
    </w:p>
    <w:p w:rsidR="007C4B12" w:rsidRPr="00CA2A98" w:rsidRDefault="005A102B" w:rsidP="0054305C">
      <w:pPr>
        <w:jc w:val="both"/>
        <w:rPr>
          <w:lang w:val="uk-UA"/>
        </w:rPr>
      </w:pPr>
      <w:r w:rsidRPr="00CA2A98">
        <w:rPr>
          <w:lang w:val="uk-UA"/>
        </w:rPr>
        <w:t xml:space="preserve">         </w:t>
      </w:r>
      <w:r w:rsidR="0054305C" w:rsidRPr="00CA2A98">
        <w:rPr>
          <w:lang w:val="uk-UA"/>
        </w:rPr>
        <w:t>В 2013</w:t>
      </w:r>
      <w:r w:rsidR="007C4B12" w:rsidRPr="00CA2A98">
        <w:rPr>
          <w:lang w:val="uk-UA"/>
        </w:rPr>
        <w:t>-2015 рр.</w:t>
      </w:r>
      <w:r w:rsidRPr="00CA2A98">
        <w:rPr>
          <w:lang w:val="uk-UA"/>
        </w:rPr>
        <w:t xml:space="preserve"> </w:t>
      </w:r>
      <w:r w:rsidR="007C4B12" w:rsidRPr="00CA2A98">
        <w:rPr>
          <w:lang w:val="uk-UA"/>
        </w:rPr>
        <w:t xml:space="preserve">приділена </w:t>
      </w:r>
      <w:r w:rsidR="00183B64" w:rsidRPr="00CA2A98">
        <w:rPr>
          <w:lang w:val="uk-UA"/>
        </w:rPr>
        <w:t xml:space="preserve">особлива </w:t>
      </w:r>
      <w:r w:rsidR="007C4B12" w:rsidRPr="00CA2A98">
        <w:rPr>
          <w:lang w:val="uk-UA"/>
        </w:rPr>
        <w:t>увага</w:t>
      </w:r>
      <w:r w:rsidR="00757659" w:rsidRPr="00CA2A98">
        <w:rPr>
          <w:lang w:val="uk-UA"/>
        </w:rPr>
        <w:t xml:space="preserve"> технічній</w:t>
      </w:r>
      <w:r w:rsidR="00E02840" w:rsidRPr="00CA2A98">
        <w:rPr>
          <w:lang w:val="uk-UA"/>
        </w:rPr>
        <w:t xml:space="preserve"> експлуатації</w:t>
      </w:r>
      <w:r w:rsidR="00D024BF" w:rsidRPr="00CA2A98">
        <w:rPr>
          <w:lang w:val="uk-UA"/>
        </w:rPr>
        <w:t>,</w:t>
      </w:r>
      <w:r w:rsidRPr="00CA2A98">
        <w:rPr>
          <w:lang w:val="uk-UA"/>
        </w:rPr>
        <w:t xml:space="preserve"> </w:t>
      </w:r>
      <w:r w:rsidR="00183B64" w:rsidRPr="00CA2A98">
        <w:rPr>
          <w:lang w:val="uk-UA"/>
        </w:rPr>
        <w:t xml:space="preserve">проведенню ремонту </w:t>
      </w:r>
      <w:proofErr w:type="spellStart"/>
      <w:r w:rsidR="00A70406" w:rsidRPr="00CA2A98">
        <w:rPr>
          <w:lang w:val="uk-UA"/>
        </w:rPr>
        <w:t>адмін</w:t>
      </w:r>
      <w:r w:rsidR="0054305C" w:rsidRPr="00CA2A98">
        <w:rPr>
          <w:lang w:val="uk-UA"/>
        </w:rPr>
        <w:t>будівлі</w:t>
      </w:r>
      <w:proofErr w:type="spellEnd"/>
      <w:r w:rsidR="0054305C" w:rsidRPr="00CA2A98">
        <w:rPr>
          <w:lang w:val="uk-UA"/>
        </w:rPr>
        <w:t xml:space="preserve"> по вул. Грушевського, 1</w:t>
      </w:r>
      <w:r w:rsidR="007C4B12" w:rsidRPr="00CA2A98">
        <w:rPr>
          <w:lang w:val="uk-UA"/>
        </w:rPr>
        <w:t>, як</w:t>
      </w:r>
      <w:r w:rsidRPr="00CA2A98">
        <w:rPr>
          <w:lang w:val="uk-UA"/>
        </w:rPr>
        <w:t xml:space="preserve"> </w:t>
      </w:r>
      <w:r w:rsidR="0054305C" w:rsidRPr="00CA2A98">
        <w:rPr>
          <w:lang w:val="uk-UA"/>
        </w:rPr>
        <w:t>пам’ятки архітектури «Палац юстиції»</w:t>
      </w:r>
      <w:r w:rsidR="007C4B12" w:rsidRPr="00CA2A98">
        <w:rPr>
          <w:lang w:val="uk-UA"/>
        </w:rPr>
        <w:t>.</w:t>
      </w:r>
    </w:p>
    <w:p w:rsidR="002D6397" w:rsidRPr="00CA2A98" w:rsidRDefault="005A102B" w:rsidP="00CC26E3">
      <w:pPr>
        <w:jc w:val="both"/>
        <w:rPr>
          <w:lang w:val="uk-UA"/>
        </w:rPr>
      </w:pPr>
      <w:r w:rsidRPr="00CA2A98">
        <w:rPr>
          <w:lang w:val="uk-UA"/>
        </w:rPr>
        <w:t xml:space="preserve">        </w:t>
      </w:r>
      <w:r w:rsidR="00E02840" w:rsidRPr="00CA2A98">
        <w:rPr>
          <w:lang w:val="uk-UA"/>
        </w:rPr>
        <w:t>В 2013 році проведено капітальний ремонт 4</w:t>
      </w:r>
      <w:r w:rsidR="007C4B12" w:rsidRPr="00CA2A98">
        <w:rPr>
          <w:lang w:val="uk-UA"/>
        </w:rPr>
        <w:t>0</w:t>
      </w:r>
      <w:r w:rsidR="00D024BF" w:rsidRPr="00CA2A98">
        <w:rPr>
          <w:lang w:val="uk-UA"/>
        </w:rPr>
        <w:t>,0</w:t>
      </w:r>
      <w:r w:rsidR="007C4B12" w:rsidRPr="00CA2A98">
        <w:rPr>
          <w:lang w:val="uk-UA"/>
        </w:rPr>
        <w:t xml:space="preserve"> % систем опалення, її теплоізоляцію, ремонт розподільчих силових щитів</w:t>
      </w:r>
      <w:r w:rsidR="00E02840" w:rsidRPr="00CA2A98">
        <w:rPr>
          <w:lang w:val="uk-UA"/>
        </w:rPr>
        <w:t>, заміну</w:t>
      </w:r>
      <w:r w:rsidRPr="00CA2A98">
        <w:rPr>
          <w:lang w:val="uk-UA"/>
        </w:rPr>
        <w:t xml:space="preserve"> </w:t>
      </w:r>
      <w:r w:rsidR="0054305C" w:rsidRPr="00CA2A98">
        <w:rPr>
          <w:lang w:val="uk-UA"/>
        </w:rPr>
        <w:t>трансформатор</w:t>
      </w:r>
      <w:r w:rsidR="00E02840" w:rsidRPr="00CA2A98">
        <w:rPr>
          <w:lang w:val="uk-UA"/>
        </w:rPr>
        <w:t>а</w:t>
      </w:r>
      <w:r w:rsidRPr="00CA2A98">
        <w:rPr>
          <w:lang w:val="uk-UA"/>
        </w:rPr>
        <w:t xml:space="preserve"> </w:t>
      </w:r>
      <w:r w:rsidR="00A70406" w:rsidRPr="00CA2A98">
        <w:rPr>
          <w:lang w:val="uk-UA"/>
        </w:rPr>
        <w:t>силової</w:t>
      </w:r>
      <w:r w:rsidR="0054305C" w:rsidRPr="00CA2A98">
        <w:rPr>
          <w:lang w:val="uk-UA"/>
        </w:rPr>
        <w:t xml:space="preserve"> підстанції, виконано регламентні роботи по запуску котельні до опаленого сезону, поточний ремонт </w:t>
      </w:r>
      <w:r w:rsidR="007C4B12" w:rsidRPr="00CA2A98">
        <w:rPr>
          <w:lang w:val="uk-UA"/>
        </w:rPr>
        <w:t>7</w:t>
      </w:r>
      <w:r w:rsidRPr="00CA2A98">
        <w:rPr>
          <w:lang w:val="uk-UA"/>
        </w:rPr>
        <w:t xml:space="preserve"> </w:t>
      </w:r>
      <w:r w:rsidR="0054305C" w:rsidRPr="00CA2A98">
        <w:rPr>
          <w:lang w:val="uk-UA"/>
        </w:rPr>
        <w:t>кабінетів  із заміною батарей опалення, електропроводки, розподільчих коробок, щитів, розеток, проведено ремонт коридору IV поверху</w:t>
      </w:r>
      <w:r w:rsidR="00CC26E3" w:rsidRPr="00CA2A98">
        <w:rPr>
          <w:lang w:val="uk-UA"/>
        </w:rPr>
        <w:t>,заміну</w:t>
      </w:r>
      <w:r w:rsidRPr="00CA2A98">
        <w:rPr>
          <w:lang w:val="uk-UA"/>
        </w:rPr>
        <w:t xml:space="preserve"> </w:t>
      </w:r>
      <w:r w:rsidR="0054305C" w:rsidRPr="00CA2A98">
        <w:rPr>
          <w:lang w:val="uk-UA"/>
        </w:rPr>
        <w:t xml:space="preserve">каналізаційних систем, зливних бачків, </w:t>
      </w:r>
      <w:proofErr w:type="spellStart"/>
      <w:r w:rsidR="0054305C" w:rsidRPr="00CA2A98">
        <w:rPr>
          <w:lang w:val="uk-UA"/>
        </w:rPr>
        <w:t>водозапірної</w:t>
      </w:r>
      <w:proofErr w:type="spellEnd"/>
      <w:r w:rsidR="0054305C" w:rsidRPr="00CA2A98">
        <w:rPr>
          <w:lang w:val="uk-UA"/>
        </w:rPr>
        <w:t xml:space="preserve"> арматури, облицювальної плитки, виконанням малярних робіт</w:t>
      </w:r>
      <w:r w:rsidRPr="00CA2A98">
        <w:rPr>
          <w:lang w:val="uk-UA"/>
        </w:rPr>
        <w:t xml:space="preserve"> </w:t>
      </w:r>
      <w:r w:rsidR="00A4116D" w:rsidRPr="00CA2A98">
        <w:rPr>
          <w:lang w:val="uk-UA"/>
        </w:rPr>
        <w:t xml:space="preserve">двох </w:t>
      </w:r>
      <w:r w:rsidR="00461CF1" w:rsidRPr="00CA2A98">
        <w:rPr>
          <w:lang w:val="uk-UA"/>
        </w:rPr>
        <w:t>туалетів</w:t>
      </w:r>
      <w:r w:rsidRPr="00CA2A98">
        <w:rPr>
          <w:lang w:val="uk-UA"/>
        </w:rPr>
        <w:t xml:space="preserve"> </w:t>
      </w:r>
      <w:r w:rsidR="00A70406" w:rsidRPr="00CA2A98">
        <w:rPr>
          <w:lang w:val="uk-UA"/>
        </w:rPr>
        <w:t>ІІ, IV поверхів</w:t>
      </w:r>
      <w:r w:rsidR="0054305C" w:rsidRPr="00CA2A98">
        <w:rPr>
          <w:lang w:val="uk-UA"/>
        </w:rPr>
        <w:t xml:space="preserve">, виготовлено </w:t>
      </w:r>
      <w:r w:rsidR="00A70406" w:rsidRPr="00CA2A98">
        <w:rPr>
          <w:lang w:val="uk-UA"/>
        </w:rPr>
        <w:t xml:space="preserve">і замінено </w:t>
      </w:r>
      <w:r w:rsidR="0054305C" w:rsidRPr="00CA2A98">
        <w:rPr>
          <w:lang w:val="uk-UA"/>
        </w:rPr>
        <w:t xml:space="preserve">40 віконних рам, </w:t>
      </w:r>
      <w:r w:rsidR="00A70406" w:rsidRPr="00CA2A98">
        <w:rPr>
          <w:lang w:val="uk-UA"/>
        </w:rPr>
        <w:t>зовнішніх фасадів</w:t>
      </w:r>
      <w:r w:rsidR="0054305C" w:rsidRPr="00CA2A98">
        <w:rPr>
          <w:lang w:val="uk-UA"/>
        </w:rPr>
        <w:t xml:space="preserve"> ІІІ, IV </w:t>
      </w:r>
      <w:proofErr w:type="spellStart"/>
      <w:r w:rsidR="0054305C" w:rsidRPr="00CA2A98">
        <w:rPr>
          <w:lang w:val="uk-UA"/>
        </w:rPr>
        <w:t>поверху</w:t>
      </w:r>
      <w:r w:rsidR="00CC26E3" w:rsidRPr="00CA2A98">
        <w:rPr>
          <w:lang w:val="uk-UA"/>
        </w:rPr>
        <w:t>.</w:t>
      </w:r>
      <w:r w:rsidR="0054305C" w:rsidRPr="00CA2A98">
        <w:rPr>
          <w:lang w:val="uk-UA"/>
        </w:rPr>
        <w:t>Всього</w:t>
      </w:r>
      <w:proofErr w:type="spellEnd"/>
      <w:r w:rsidR="0054305C" w:rsidRPr="00CA2A98">
        <w:rPr>
          <w:lang w:val="uk-UA"/>
        </w:rPr>
        <w:t xml:space="preserve"> на </w:t>
      </w:r>
      <w:r w:rsidR="00A70406" w:rsidRPr="00CA2A98">
        <w:rPr>
          <w:lang w:val="uk-UA"/>
        </w:rPr>
        <w:t xml:space="preserve">виконання даних робіт витрачено </w:t>
      </w:r>
      <w:r w:rsidR="0054305C" w:rsidRPr="00CA2A98">
        <w:rPr>
          <w:lang w:val="uk-UA"/>
        </w:rPr>
        <w:t>158,8 тис.</w:t>
      </w:r>
      <w:r w:rsidR="00A4116D" w:rsidRPr="00CA2A98">
        <w:rPr>
          <w:lang w:val="uk-UA"/>
        </w:rPr>
        <w:t xml:space="preserve"> госпрозрахункових коштів</w:t>
      </w:r>
      <w:r w:rsidRPr="00CA2A98">
        <w:rPr>
          <w:lang w:val="uk-UA"/>
        </w:rPr>
        <w:t xml:space="preserve"> та 122,1 тис. грн.. коштів місцевого бюджету.</w:t>
      </w:r>
    </w:p>
    <w:p w:rsidR="002B0AA6" w:rsidRPr="00CA2A98" w:rsidRDefault="002B0AA6" w:rsidP="00CC26E3">
      <w:pPr>
        <w:jc w:val="both"/>
        <w:rPr>
          <w:lang w:val="uk-UA"/>
        </w:rPr>
      </w:pPr>
      <w:r w:rsidRPr="00CA2A98">
        <w:rPr>
          <w:lang w:val="uk-UA"/>
        </w:rPr>
        <w:t xml:space="preserve">         Проведено капітальний ремонт центральних вхідних сходів в приміщенні по вул.. Грушевського, 1.</w:t>
      </w:r>
    </w:p>
    <w:p w:rsidR="00E02840" w:rsidRPr="00CA2A98" w:rsidRDefault="005A102B" w:rsidP="002D6397">
      <w:pPr>
        <w:jc w:val="both"/>
        <w:rPr>
          <w:lang w:val="uk-UA"/>
        </w:rPr>
      </w:pPr>
      <w:r w:rsidRPr="00CA2A98">
        <w:rPr>
          <w:lang w:val="uk-UA"/>
        </w:rPr>
        <w:t xml:space="preserve">         </w:t>
      </w:r>
      <w:r w:rsidR="002D6397" w:rsidRPr="00CA2A98">
        <w:rPr>
          <w:lang w:val="uk-UA"/>
        </w:rPr>
        <w:t xml:space="preserve">В 2014 році </w:t>
      </w:r>
      <w:r w:rsidR="00B5365B" w:rsidRPr="00CA2A98">
        <w:rPr>
          <w:lang w:val="uk-UA"/>
        </w:rPr>
        <w:t>до опалювального сезону</w:t>
      </w:r>
      <w:r w:rsidRPr="00CA2A98">
        <w:rPr>
          <w:lang w:val="uk-UA"/>
        </w:rPr>
        <w:t xml:space="preserve"> </w:t>
      </w:r>
      <w:r w:rsidR="00A4116D" w:rsidRPr="00CA2A98">
        <w:rPr>
          <w:lang w:val="uk-UA"/>
        </w:rPr>
        <w:t xml:space="preserve">встановлено </w:t>
      </w:r>
      <w:r w:rsidR="00183B64" w:rsidRPr="00CA2A98">
        <w:rPr>
          <w:lang w:val="uk-UA"/>
        </w:rPr>
        <w:t xml:space="preserve">в котельні </w:t>
      </w:r>
      <w:r w:rsidR="00B5365B" w:rsidRPr="00CA2A98">
        <w:rPr>
          <w:lang w:val="uk-UA"/>
        </w:rPr>
        <w:t>сигналізатор</w:t>
      </w:r>
      <w:r w:rsidR="00A4116D" w:rsidRPr="00CA2A98">
        <w:rPr>
          <w:lang w:val="uk-UA"/>
        </w:rPr>
        <w:t>и</w:t>
      </w:r>
      <w:r w:rsidR="002D6397" w:rsidRPr="00CA2A98">
        <w:rPr>
          <w:lang w:val="uk-UA"/>
        </w:rPr>
        <w:t xml:space="preserve"> регулюючого </w:t>
      </w:r>
      <w:proofErr w:type="spellStart"/>
      <w:r w:rsidR="002D6397" w:rsidRPr="00CA2A98">
        <w:rPr>
          <w:lang w:val="uk-UA"/>
        </w:rPr>
        <w:t>пропорціонально-інтегрально-дифереціального</w:t>
      </w:r>
      <w:proofErr w:type="spellEnd"/>
      <w:r w:rsidR="002D6397" w:rsidRPr="00CA2A98">
        <w:rPr>
          <w:lang w:val="uk-UA"/>
        </w:rPr>
        <w:t xml:space="preserve"> блоку, вибухонебезпечної концентрації газу, механізму виконавчого </w:t>
      </w:r>
      <w:proofErr w:type="spellStart"/>
      <w:r w:rsidR="002D6397" w:rsidRPr="00CA2A98">
        <w:rPr>
          <w:lang w:val="uk-UA"/>
        </w:rPr>
        <w:t>відсікаючого</w:t>
      </w:r>
      <w:proofErr w:type="spellEnd"/>
      <w:r w:rsidR="002D6397" w:rsidRPr="00CA2A98">
        <w:rPr>
          <w:lang w:val="uk-UA"/>
        </w:rPr>
        <w:t xml:space="preserve"> клапа</w:t>
      </w:r>
      <w:r w:rsidR="00A4116D" w:rsidRPr="00CA2A98">
        <w:rPr>
          <w:lang w:val="uk-UA"/>
        </w:rPr>
        <w:t>ну, пальника блокового газового.</w:t>
      </w:r>
    </w:p>
    <w:p w:rsidR="002D6397" w:rsidRPr="00CA2A98" w:rsidRDefault="00E02840" w:rsidP="002D6397">
      <w:pPr>
        <w:jc w:val="both"/>
        <w:rPr>
          <w:lang w:val="uk-UA"/>
        </w:rPr>
      </w:pPr>
      <w:r w:rsidRPr="00CA2A98">
        <w:rPr>
          <w:lang w:val="uk-UA"/>
        </w:rPr>
        <w:t xml:space="preserve">         Р</w:t>
      </w:r>
      <w:r w:rsidR="002D6397" w:rsidRPr="00CA2A98">
        <w:rPr>
          <w:lang w:val="uk-UA"/>
        </w:rPr>
        <w:t xml:space="preserve">емонт системи опалення </w:t>
      </w:r>
      <w:r w:rsidR="00A4116D" w:rsidRPr="00CA2A98">
        <w:rPr>
          <w:lang w:val="uk-UA"/>
        </w:rPr>
        <w:t xml:space="preserve">в </w:t>
      </w:r>
      <w:r w:rsidR="002D6397" w:rsidRPr="00CA2A98">
        <w:rPr>
          <w:lang w:val="uk-UA"/>
        </w:rPr>
        <w:t>приміщеннях архіві</w:t>
      </w:r>
      <w:r w:rsidR="00A4116D" w:rsidRPr="00CA2A98">
        <w:rPr>
          <w:lang w:val="uk-UA"/>
        </w:rPr>
        <w:t>в</w:t>
      </w:r>
      <w:r w:rsidR="002D6397" w:rsidRPr="00CA2A98">
        <w:rPr>
          <w:lang w:val="uk-UA"/>
        </w:rPr>
        <w:t xml:space="preserve"> Департаменту агропромислового розвитку та Департаменту економіки та торгівлі, складських приміщень</w:t>
      </w:r>
      <w:r w:rsidRPr="00CA2A98">
        <w:rPr>
          <w:lang w:val="uk-UA"/>
        </w:rPr>
        <w:t>,</w:t>
      </w:r>
      <w:r w:rsidR="002D6397" w:rsidRPr="00CA2A98">
        <w:rPr>
          <w:lang w:val="uk-UA"/>
        </w:rPr>
        <w:t xml:space="preserve"> архівів облдержадміністрації та Департаменту фінансів, ремонт коридору </w:t>
      </w:r>
      <w:r w:rsidR="00B5365B" w:rsidRPr="00CA2A98">
        <w:rPr>
          <w:lang w:val="uk-UA"/>
        </w:rPr>
        <w:t>цокольного поверху та спортзалу</w:t>
      </w:r>
      <w:r w:rsidR="002D6397" w:rsidRPr="00CA2A98">
        <w:rPr>
          <w:lang w:val="uk-UA"/>
        </w:rPr>
        <w:t>.</w:t>
      </w:r>
    </w:p>
    <w:p w:rsidR="002D6397" w:rsidRPr="00CA2A98" w:rsidRDefault="005A102B" w:rsidP="000B2F33">
      <w:pPr>
        <w:jc w:val="both"/>
        <w:rPr>
          <w:lang w:val="uk-UA"/>
        </w:rPr>
      </w:pPr>
      <w:r w:rsidRPr="00CA2A98">
        <w:rPr>
          <w:lang w:val="uk-UA"/>
        </w:rPr>
        <w:t xml:space="preserve">         </w:t>
      </w:r>
      <w:r w:rsidR="00E02840" w:rsidRPr="00CA2A98">
        <w:rPr>
          <w:lang w:val="uk-UA"/>
        </w:rPr>
        <w:t>Р</w:t>
      </w:r>
      <w:r w:rsidR="00B5365B" w:rsidRPr="00CA2A98">
        <w:rPr>
          <w:lang w:val="uk-UA"/>
        </w:rPr>
        <w:t>емонт</w:t>
      </w:r>
      <w:r w:rsidR="002D6397" w:rsidRPr="00CA2A98">
        <w:rPr>
          <w:lang w:val="uk-UA"/>
        </w:rPr>
        <w:t xml:space="preserve"> розподільчих силових щитів, світильників, </w:t>
      </w:r>
      <w:proofErr w:type="spellStart"/>
      <w:r w:rsidR="002D6397" w:rsidRPr="00CA2A98">
        <w:rPr>
          <w:lang w:val="uk-UA"/>
        </w:rPr>
        <w:t>електоровимикачів</w:t>
      </w:r>
      <w:proofErr w:type="spellEnd"/>
      <w:r w:rsidR="002D6397" w:rsidRPr="00CA2A98">
        <w:rPr>
          <w:lang w:val="uk-UA"/>
        </w:rPr>
        <w:t xml:space="preserve"> на поверхах, технічне обслуговування кондиціонерів, </w:t>
      </w:r>
      <w:r w:rsidR="00B5365B" w:rsidRPr="00CA2A98">
        <w:rPr>
          <w:lang w:val="uk-UA"/>
        </w:rPr>
        <w:t>замін</w:t>
      </w:r>
      <w:r w:rsidR="00936B6D" w:rsidRPr="00CA2A98">
        <w:rPr>
          <w:lang w:val="uk-UA"/>
        </w:rPr>
        <w:t>у</w:t>
      </w:r>
      <w:r w:rsidR="006B2F15" w:rsidRPr="00CA2A98">
        <w:rPr>
          <w:lang w:val="uk-UA"/>
        </w:rPr>
        <w:t xml:space="preserve"> </w:t>
      </w:r>
      <w:r w:rsidR="00936B6D" w:rsidRPr="00CA2A98">
        <w:rPr>
          <w:lang w:val="uk-UA"/>
        </w:rPr>
        <w:t xml:space="preserve">30 </w:t>
      </w:r>
      <w:r w:rsidR="002D6397" w:rsidRPr="00CA2A98">
        <w:rPr>
          <w:lang w:val="uk-UA"/>
        </w:rPr>
        <w:t>віконних рам по</w:t>
      </w:r>
      <w:r w:rsidR="00B5365B" w:rsidRPr="00CA2A98">
        <w:rPr>
          <w:lang w:val="uk-UA"/>
        </w:rPr>
        <w:t xml:space="preserve"> зовнішніх фасадів</w:t>
      </w:r>
      <w:r w:rsidRPr="00CA2A98">
        <w:rPr>
          <w:lang w:val="uk-UA"/>
        </w:rPr>
        <w:t xml:space="preserve"> </w:t>
      </w:r>
      <w:proofErr w:type="spellStart"/>
      <w:r w:rsidR="002D6397" w:rsidRPr="00CA2A98">
        <w:rPr>
          <w:lang w:val="uk-UA"/>
        </w:rPr>
        <w:t>адмінбудівлі</w:t>
      </w:r>
      <w:proofErr w:type="spellEnd"/>
      <w:r w:rsidR="002D6397" w:rsidRPr="00CA2A98">
        <w:rPr>
          <w:lang w:val="uk-UA"/>
        </w:rPr>
        <w:t xml:space="preserve">, </w:t>
      </w:r>
      <w:r w:rsidR="00B5365B" w:rsidRPr="00CA2A98">
        <w:rPr>
          <w:lang w:val="uk-UA"/>
        </w:rPr>
        <w:t xml:space="preserve">виконано реставрацію </w:t>
      </w:r>
      <w:r w:rsidR="00E02840" w:rsidRPr="00CA2A98">
        <w:rPr>
          <w:lang w:val="uk-UA"/>
        </w:rPr>
        <w:t xml:space="preserve">та відновлено </w:t>
      </w:r>
      <w:r w:rsidR="00757659" w:rsidRPr="00CA2A98">
        <w:rPr>
          <w:lang w:val="uk-UA"/>
        </w:rPr>
        <w:t>8</w:t>
      </w:r>
      <w:r w:rsidR="002D6397" w:rsidRPr="00CA2A98">
        <w:rPr>
          <w:lang w:val="uk-UA"/>
        </w:rPr>
        <w:t xml:space="preserve"> дверей зовнішніх фасадів.</w:t>
      </w:r>
      <w:r w:rsidR="0014226D" w:rsidRPr="00CA2A98">
        <w:rPr>
          <w:lang w:val="uk-UA"/>
        </w:rPr>
        <w:t xml:space="preserve"> Всього видатки на виконання даних робіт складают</w:t>
      </w:r>
      <w:r w:rsidRPr="00CA2A98">
        <w:rPr>
          <w:lang w:val="uk-UA"/>
        </w:rPr>
        <w:t>ь 22</w:t>
      </w:r>
      <w:r w:rsidR="00D024BF" w:rsidRPr="00CA2A98">
        <w:rPr>
          <w:lang w:val="uk-UA"/>
        </w:rPr>
        <w:t>1,3</w:t>
      </w:r>
      <w:r w:rsidR="0014226D" w:rsidRPr="00CA2A98">
        <w:rPr>
          <w:lang w:val="uk-UA"/>
        </w:rPr>
        <w:t xml:space="preserve"> тис. грн. госпрозрахункових коштів.</w:t>
      </w:r>
    </w:p>
    <w:p w:rsidR="002B0AA6" w:rsidRPr="00CA2A98" w:rsidRDefault="005A102B" w:rsidP="00E02840">
      <w:pPr>
        <w:jc w:val="both"/>
        <w:rPr>
          <w:lang w:val="uk-UA"/>
        </w:rPr>
      </w:pPr>
      <w:r w:rsidRPr="00CA2A98">
        <w:rPr>
          <w:lang w:val="uk-UA"/>
        </w:rPr>
        <w:t xml:space="preserve">      </w:t>
      </w:r>
      <w:r w:rsidR="006B2F15" w:rsidRPr="00CA2A98">
        <w:rPr>
          <w:lang w:val="uk-UA"/>
        </w:rPr>
        <w:t xml:space="preserve"> </w:t>
      </w:r>
      <w:r w:rsidRPr="00CA2A98">
        <w:rPr>
          <w:lang w:val="uk-UA"/>
        </w:rPr>
        <w:t xml:space="preserve">  В 201</w:t>
      </w:r>
      <w:r w:rsidR="006F344A" w:rsidRPr="00CA2A98">
        <w:rPr>
          <w:lang w:val="uk-UA"/>
        </w:rPr>
        <w:t xml:space="preserve">5 році в котельні </w:t>
      </w:r>
      <w:proofErr w:type="spellStart"/>
      <w:r w:rsidR="006F344A" w:rsidRPr="00CA2A98">
        <w:rPr>
          <w:lang w:val="uk-UA"/>
        </w:rPr>
        <w:t>адмінбудівлі</w:t>
      </w:r>
      <w:proofErr w:type="spellEnd"/>
      <w:r w:rsidRPr="00CA2A98">
        <w:rPr>
          <w:lang w:val="uk-UA"/>
        </w:rPr>
        <w:t xml:space="preserve"> </w:t>
      </w:r>
      <w:r w:rsidR="00E02840" w:rsidRPr="00CA2A98">
        <w:rPr>
          <w:lang w:val="uk-UA"/>
        </w:rPr>
        <w:t xml:space="preserve">змонтовано </w:t>
      </w:r>
      <w:r w:rsidR="002B0AA6" w:rsidRPr="00CA2A98">
        <w:rPr>
          <w:lang w:val="uk-UA"/>
        </w:rPr>
        <w:t>твердо</w:t>
      </w:r>
      <w:r w:rsidR="00E43E20" w:rsidRPr="00CA2A98">
        <w:rPr>
          <w:lang w:val="uk-UA"/>
        </w:rPr>
        <w:t>паливний котел</w:t>
      </w:r>
      <w:r w:rsidR="00E02840" w:rsidRPr="00CA2A98">
        <w:rPr>
          <w:lang w:val="uk-UA"/>
        </w:rPr>
        <w:t xml:space="preserve"> типу </w:t>
      </w:r>
      <w:r w:rsidR="002B0AA6" w:rsidRPr="00CA2A98">
        <w:rPr>
          <w:lang w:val="uk-UA"/>
        </w:rPr>
        <w:t xml:space="preserve">АТОН  </w:t>
      </w:r>
      <w:r w:rsidR="00E02840" w:rsidRPr="00CA2A98">
        <w:rPr>
          <w:lang w:val="uk-UA"/>
        </w:rPr>
        <w:t>К</w:t>
      </w:r>
      <w:r w:rsidR="002B0AA6" w:rsidRPr="00CA2A98">
        <w:rPr>
          <w:lang w:val="uk-UA"/>
        </w:rPr>
        <w:t>С</w:t>
      </w:r>
      <w:r w:rsidR="00E02840" w:rsidRPr="00CA2A98">
        <w:rPr>
          <w:lang w:val="uk-UA"/>
        </w:rPr>
        <w:t>Т</w:t>
      </w:r>
      <w:r w:rsidR="002B0AA6" w:rsidRPr="00CA2A98">
        <w:rPr>
          <w:lang w:val="uk-UA"/>
        </w:rPr>
        <w:t>-800</w:t>
      </w:r>
      <w:r w:rsidR="002D6397" w:rsidRPr="00CA2A98">
        <w:rPr>
          <w:lang w:val="uk-UA"/>
        </w:rPr>
        <w:t xml:space="preserve"> випуску </w:t>
      </w:r>
      <w:proofErr w:type="spellStart"/>
      <w:r w:rsidR="002B0AA6" w:rsidRPr="00CA2A98">
        <w:rPr>
          <w:lang w:val="uk-UA"/>
        </w:rPr>
        <w:t>ДП</w:t>
      </w:r>
      <w:proofErr w:type="spellEnd"/>
      <w:r w:rsidR="002B0AA6" w:rsidRPr="00CA2A98">
        <w:rPr>
          <w:lang w:val="uk-UA"/>
        </w:rPr>
        <w:t xml:space="preserve"> «</w:t>
      </w:r>
      <w:proofErr w:type="spellStart"/>
      <w:r w:rsidR="002B0AA6" w:rsidRPr="00CA2A98">
        <w:rPr>
          <w:lang w:val="uk-UA"/>
        </w:rPr>
        <w:t>Котломаш</w:t>
      </w:r>
      <w:proofErr w:type="spellEnd"/>
      <w:r w:rsidR="002B0AA6" w:rsidRPr="00CA2A98">
        <w:rPr>
          <w:lang w:val="uk-UA"/>
        </w:rPr>
        <w:t xml:space="preserve">» ВАТ </w:t>
      </w:r>
      <w:proofErr w:type="spellStart"/>
      <w:r w:rsidR="002B0AA6" w:rsidRPr="00CA2A98">
        <w:rPr>
          <w:lang w:val="uk-UA"/>
        </w:rPr>
        <w:t>Красилівського</w:t>
      </w:r>
      <w:proofErr w:type="spellEnd"/>
      <w:r w:rsidR="002B0AA6" w:rsidRPr="00CA2A98">
        <w:rPr>
          <w:lang w:val="uk-UA"/>
        </w:rPr>
        <w:t xml:space="preserve"> машинобудівного заводу», виконано комплекс будівельних робіт, монтажних, регламентних робіт по введенню котла в експлуатацію. </w:t>
      </w:r>
    </w:p>
    <w:p w:rsidR="006B2F15" w:rsidRPr="00CA2A98" w:rsidRDefault="002B0AA6" w:rsidP="00E02840">
      <w:pPr>
        <w:jc w:val="both"/>
        <w:rPr>
          <w:lang w:val="uk-UA"/>
        </w:rPr>
      </w:pPr>
      <w:r w:rsidRPr="00CA2A98">
        <w:rPr>
          <w:lang w:val="uk-UA"/>
        </w:rPr>
        <w:t xml:space="preserve">         Також</w:t>
      </w:r>
      <w:r w:rsidR="000920C6" w:rsidRPr="00CA2A98">
        <w:rPr>
          <w:lang w:val="uk-UA"/>
        </w:rPr>
        <w:t xml:space="preserve"> в автобазі виконано комплекс робіт по встановленню твердопаливного котла КТ-2 Чернігівського машинобудівного заводу за </w:t>
      </w:r>
      <w:r w:rsidR="000920C6" w:rsidRPr="00CA2A98">
        <w:rPr>
          <w:lang w:val="uk-UA"/>
        </w:rPr>
        <w:lastRenderedPageBreak/>
        <w:t>рахунок капітальних вкладень на сум</w:t>
      </w:r>
      <w:r w:rsidR="00AC5230" w:rsidRPr="00CA2A98">
        <w:rPr>
          <w:lang w:val="uk-UA"/>
        </w:rPr>
        <w:t>у</w:t>
      </w:r>
      <w:r w:rsidR="000920C6" w:rsidRPr="00CA2A98">
        <w:rPr>
          <w:lang w:val="uk-UA"/>
        </w:rPr>
        <w:t xml:space="preserve"> 78,9 тис. грн</w:t>
      </w:r>
      <w:r w:rsidR="006F344A" w:rsidRPr="00CA2A98">
        <w:rPr>
          <w:lang w:val="uk-UA"/>
        </w:rPr>
        <w:t>. В</w:t>
      </w:r>
      <w:r w:rsidR="002D6397" w:rsidRPr="00CA2A98">
        <w:rPr>
          <w:lang w:val="uk-UA"/>
        </w:rPr>
        <w:t xml:space="preserve">сього </w:t>
      </w:r>
      <w:r w:rsidR="006F344A" w:rsidRPr="00CA2A98">
        <w:rPr>
          <w:lang w:val="uk-UA"/>
        </w:rPr>
        <w:t xml:space="preserve">за рахунок капітальних вкладень </w:t>
      </w:r>
      <w:r w:rsidR="000920C6" w:rsidRPr="00CA2A98">
        <w:rPr>
          <w:lang w:val="uk-UA"/>
        </w:rPr>
        <w:t xml:space="preserve">спецфонду </w:t>
      </w:r>
      <w:r w:rsidR="00D024BF" w:rsidRPr="00CA2A98">
        <w:rPr>
          <w:lang w:val="uk-UA"/>
        </w:rPr>
        <w:t>викона</w:t>
      </w:r>
      <w:r w:rsidR="00E02840" w:rsidRPr="00CA2A98">
        <w:rPr>
          <w:lang w:val="uk-UA"/>
        </w:rPr>
        <w:t xml:space="preserve">но робіт </w:t>
      </w:r>
      <w:r w:rsidR="002D6397" w:rsidRPr="00CA2A98">
        <w:rPr>
          <w:lang w:val="uk-UA"/>
        </w:rPr>
        <w:t>на 820</w:t>
      </w:r>
      <w:r w:rsidR="00D024BF" w:rsidRPr="00CA2A98">
        <w:rPr>
          <w:lang w:val="uk-UA"/>
        </w:rPr>
        <w:t>,0</w:t>
      </w:r>
      <w:r w:rsidR="002D6397" w:rsidRPr="00CA2A98">
        <w:rPr>
          <w:lang w:val="uk-UA"/>
        </w:rPr>
        <w:t xml:space="preserve"> тис. грн..</w:t>
      </w:r>
    </w:p>
    <w:p w:rsidR="006F344A" w:rsidRPr="00CA2A98" w:rsidRDefault="006B2F15" w:rsidP="00E02840">
      <w:pPr>
        <w:jc w:val="both"/>
        <w:rPr>
          <w:lang w:val="uk-UA"/>
        </w:rPr>
      </w:pPr>
      <w:r w:rsidRPr="00CA2A98">
        <w:rPr>
          <w:lang w:val="uk-UA"/>
        </w:rPr>
        <w:t xml:space="preserve">  </w:t>
      </w:r>
      <w:r w:rsidR="002D6397" w:rsidRPr="00CA2A98">
        <w:rPr>
          <w:lang w:val="uk-UA"/>
        </w:rPr>
        <w:t xml:space="preserve">        Крім того виконано роботи по поточному ремонту цоколя та центрального входу в адмінбудівлю, </w:t>
      </w:r>
      <w:r w:rsidR="006F344A" w:rsidRPr="00CA2A98">
        <w:rPr>
          <w:lang w:val="uk-UA"/>
        </w:rPr>
        <w:t xml:space="preserve">ремонт </w:t>
      </w:r>
      <w:r w:rsidR="00E43E20" w:rsidRPr="00CA2A98">
        <w:rPr>
          <w:lang w:val="uk-UA"/>
        </w:rPr>
        <w:t>8</w:t>
      </w:r>
      <w:r w:rsidR="002D6397" w:rsidRPr="00CA2A98">
        <w:rPr>
          <w:lang w:val="uk-UA"/>
        </w:rPr>
        <w:t xml:space="preserve"> кабінетів</w:t>
      </w:r>
      <w:r w:rsidR="006F344A" w:rsidRPr="00CA2A98">
        <w:rPr>
          <w:lang w:val="uk-UA"/>
        </w:rPr>
        <w:t>, частини коридору ІІ поверху</w:t>
      </w:r>
      <w:r w:rsidR="002D6397" w:rsidRPr="00CA2A98">
        <w:rPr>
          <w:lang w:val="uk-UA"/>
        </w:rPr>
        <w:t xml:space="preserve">. </w:t>
      </w:r>
      <w:r w:rsidR="00E02840" w:rsidRPr="00CA2A98">
        <w:rPr>
          <w:lang w:val="uk-UA"/>
        </w:rPr>
        <w:t xml:space="preserve">За </w:t>
      </w:r>
      <w:r w:rsidR="006F344A" w:rsidRPr="00CA2A98">
        <w:rPr>
          <w:lang w:val="uk-UA"/>
        </w:rPr>
        <w:t xml:space="preserve">рахунок госпрозрахункових коштів </w:t>
      </w:r>
      <w:r w:rsidR="00E02840" w:rsidRPr="00CA2A98">
        <w:rPr>
          <w:lang w:val="uk-UA"/>
        </w:rPr>
        <w:t xml:space="preserve">видатки </w:t>
      </w:r>
      <w:r w:rsidR="006F344A" w:rsidRPr="00CA2A98">
        <w:rPr>
          <w:lang w:val="uk-UA"/>
        </w:rPr>
        <w:t>складають</w:t>
      </w:r>
      <w:r w:rsidR="00D024BF" w:rsidRPr="00CA2A98">
        <w:rPr>
          <w:lang w:val="uk-UA"/>
        </w:rPr>
        <w:t xml:space="preserve"> 93,8</w:t>
      </w:r>
      <w:r w:rsidR="006F344A" w:rsidRPr="00CA2A98">
        <w:rPr>
          <w:lang w:val="uk-UA"/>
        </w:rPr>
        <w:t xml:space="preserve"> тис.</w:t>
      </w:r>
      <w:r w:rsidR="002D6397" w:rsidRPr="00CA2A98">
        <w:rPr>
          <w:lang w:val="uk-UA"/>
        </w:rPr>
        <w:t xml:space="preserve"> грн..   </w:t>
      </w:r>
    </w:p>
    <w:p w:rsidR="00784F54" w:rsidRPr="00CA2A98" w:rsidRDefault="006B2F15" w:rsidP="00E02840">
      <w:pPr>
        <w:jc w:val="both"/>
        <w:rPr>
          <w:lang w:val="uk-UA"/>
        </w:rPr>
      </w:pPr>
      <w:r w:rsidRPr="00CA2A98">
        <w:rPr>
          <w:lang w:val="uk-UA"/>
        </w:rPr>
        <w:t xml:space="preserve">            </w:t>
      </w:r>
      <w:r w:rsidR="00E02840" w:rsidRPr="00CA2A98">
        <w:rPr>
          <w:lang w:val="uk-UA"/>
        </w:rPr>
        <w:t>В 2013 - 2015 рр. виконувались</w:t>
      </w:r>
      <w:r w:rsidRPr="00CA2A98">
        <w:rPr>
          <w:lang w:val="uk-UA"/>
        </w:rPr>
        <w:t xml:space="preserve"> </w:t>
      </w:r>
      <w:r w:rsidR="00E02840" w:rsidRPr="00CA2A98">
        <w:rPr>
          <w:lang w:val="uk-UA"/>
        </w:rPr>
        <w:t>роботи по ремонту будівель автобази</w:t>
      </w:r>
      <w:r w:rsidR="00784F54" w:rsidRPr="00CA2A98">
        <w:rPr>
          <w:lang w:val="uk-UA"/>
        </w:rPr>
        <w:t>, вул. Луцька, 6.</w:t>
      </w:r>
    </w:p>
    <w:p w:rsidR="00784F54" w:rsidRPr="00CA2A98" w:rsidRDefault="006B2F15" w:rsidP="00E02840">
      <w:pPr>
        <w:jc w:val="both"/>
        <w:rPr>
          <w:lang w:val="uk-UA"/>
        </w:rPr>
      </w:pPr>
      <w:r w:rsidRPr="00CA2A98">
        <w:rPr>
          <w:lang w:val="uk-UA"/>
        </w:rPr>
        <w:t xml:space="preserve">          </w:t>
      </w:r>
      <w:r w:rsidR="00E02840" w:rsidRPr="00CA2A98">
        <w:rPr>
          <w:lang w:val="uk-UA"/>
        </w:rPr>
        <w:t>Так</w:t>
      </w:r>
      <w:r w:rsidR="00183B64" w:rsidRPr="00CA2A98">
        <w:rPr>
          <w:lang w:val="uk-UA"/>
        </w:rPr>
        <w:t>,</w:t>
      </w:r>
      <w:r w:rsidR="00E02840" w:rsidRPr="00CA2A98">
        <w:rPr>
          <w:lang w:val="uk-UA"/>
        </w:rPr>
        <w:t xml:space="preserve"> в</w:t>
      </w:r>
      <w:r w:rsidR="00784F54" w:rsidRPr="00CA2A98">
        <w:rPr>
          <w:lang w:val="uk-UA"/>
        </w:rPr>
        <w:t xml:space="preserve"> 2013 році відремонтовано нове приміщення архіву, приміщення диспетчерської та охорони, будинку відпочинку водіїв, дільниці по ремонту транспортних засобів, душових другого поверху,</w:t>
      </w:r>
      <w:r w:rsidR="00CA2A98">
        <w:rPr>
          <w:lang w:val="uk-UA"/>
        </w:rPr>
        <w:t xml:space="preserve"> </w:t>
      </w:r>
      <w:r w:rsidR="00784F54" w:rsidRPr="00CA2A98">
        <w:rPr>
          <w:lang w:val="uk-UA"/>
        </w:rPr>
        <w:t>змонтовано новий розподільчий</w:t>
      </w:r>
      <w:r w:rsidR="00CA2A98">
        <w:rPr>
          <w:lang w:val="uk-UA"/>
        </w:rPr>
        <w:t xml:space="preserve"> </w:t>
      </w:r>
      <w:r w:rsidR="00D024BF" w:rsidRPr="00CA2A98">
        <w:rPr>
          <w:lang w:val="uk-UA"/>
        </w:rPr>
        <w:t>вузол</w:t>
      </w:r>
      <w:r w:rsidR="00784F54" w:rsidRPr="00CA2A98">
        <w:rPr>
          <w:lang w:val="uk-UA"/>
        </w:rPr>
        <w:t xml:space="preserve"> системи опалення, замінено водопровід подачі води від центральної магістралі, обладнано спеціальну стоянку для транспортних засобів, що надійшли на адресу Департаменту соціального захисту населення облдержадміністрації, в якості гуманітарної допомоги під митним контролем.  </w:t>
      </w:r>
    </w:p>
    <w:p w:rsidR="00784F54" w:rsidRPr="00CA2A98" w:rsidRDefault="00183B64" w:rsidP="00784F54">
      <w:pPr>
        <w:jc w:val="both"/>
        <w:rPr>
          <w:lang w:val="uk-UA"/>
        </w:rPr>
      </w:pPr>
      <w:r w:rsidRPr="00CA2A98">
        <w:rPr>
          <w:lang w:val="uk-UA"/>
        </w:rPr>
        <w:t>З</w:t>
      </w:r>
      <w:r w:rsidR="00784F54" w:rsidRPr="00CA2A98">
        <w:rPr>
          <w:lang w:val="uk-UA"/>
        </w:rPr>
        <w:t xml:space="preserve">а рахунок госпрозрахункових коштів </w:t>
      </w:r>
      <w:r w:rsidR="00E02840" w:rsidRPr="00CA2A98">
        <w:rPr>
          <w:lang w:val="uk-UA"/>
        </w:rPr>
        <w:t xml:space="preserve">видатки склали </w:t>
      </w:r>
      <w:r w:rsidR="00784F54" w:rsidRPr="00CA2A98">
        <w:rPr>
          <w:lang w:val="uk-UA"/>
        </w:rPr>
        <w:t xml:space="preserve">70,0 тис. грн.. </w:t>
      </w:r>
    </w:p>
    <w:p w:rsidR="00AB066A" w:rsidRPr="00CA2A98" w:rsidRDefault="00784F54" w:rsidP="00784F54">
      <w:pPr>
        <w:jc w:val="both"/>
        <w:rPr>
          <w:lang w:val="uk-UA"/>
        </w:rPr>
      </w:pPr>
      <w:r w:rsidRPr="00CA2A98">
        <w:rPr>
          <w:lang w:val="uk-UA"/>
        </w:rPr>
        <w:t xml:space="preserve">     </w:t>
      </w:r>
      <w:r w:rsidR="006B2F15" w:rsidRPr="00CA2A98">
        <w:rPr>
          <w:lang w:val="uk-UA"/>
        </w:rPr>
        <w:t xml:space="preserve">   </w:t>
      </w:r>
      <w:r w:rsidRPr="00CA2A98">
        <w:rPr>
          <w:lang w:val="uk-UA"/>
        </w:rPr>
        <w:t xml:space="preserve">  В 2014 році </w:t>
      </w:r>
      <w:r w:rsidR="00183B64" w:rsidRPr="00CA2A98">
        <w:rPr>
          <w:lang w:val="uk-UA"/>
        </w:rPr>
        <w:t xml:space="preserve">проведено </w:t>
      </w:r>
      <w:r w:rsidRPr="00CA2A98">
        <w:rPr>
          <w:lang w:val="uk-UA"/>
        </w:rPr>
        <w:t xml:space="preserve">ремонт центрального боксу </w:t>
      </w:r>
      <w:proofErr w:type="spellStart"/>
      <w:r w:rsidRPr="00CA2A98">
        <w:rPr>
          <w:lang w:val="uk-UA"/>
        </w:rPr>
        <w:t>парковки</w:t>
      </w:r>
      <w:proofErr w:type="spellEnd"/>
      <w:r w:rsidRPr="00CA2A98">
        <w:rPr>
          <w:lang w:val="uk-UA"/>
        </w:rPr>
        <w:t xml:space="preserve"> транспортних засобів площею  1350 м</w:t>
      </w:r>
      <w:r w:rsidRPr="00CA2A98">
        <w:rPr>
          <w:vertAlign w:val="superscript"/>
          <w:lang w:val="uk-UA"/>
        </w:rPr>
        <w:t>2</w:t>
      </w:r>
      <w:r w:rsidRPr="00CA2A98">
        <w:rPr>
          <w:lang w:val="uk-UA"/>
        </w:rPr>
        <w:t xml:space="preserve">,4-х боксів індивідуальної </w:t>
      </w:r>
      <w:proofErr w:type="spellStart"/>
      <w:r w:rsidRPr="00CA2A98">
        <w:rPr>
          <w:lang w:val="uk-UA"/>
        </w:rPr>
        <w:t>парковки</w:t>
      </w:r>
      <w:proofErr w:type="spellEnd"/>
      <w:r w:rsidRPr="00CA2A98">
        <w:rPr>
          <w:lang w:val="uk-UA"/>
        </w:rPr>
        <w:t xml:space="preserve"> автомобілів, ремонт покрівлі над </w:t>
      </w:r>
      <w:r w:rsidR="00270514" w:rsidRPr="00CA2A98">
        <w:rPr>
          <w:lang w:val="uk-UA"/>
        </w:rPr>
        <w:t>майстернями,</w:t>
      </w:r>
      <w:r w:rsidRPr="00CA2A98">
        <w:rPr>
          <w:lang w:val="uk-UA"/>
        </w:rPr>
        <w:t xml:space="preserve"> центральним боксом, змонтовано 132 м</w:t>
      </w:r>
      <w:r w:rsidRPr="00CA2A98">
        <w:rPr>
          <w:vertAlign w:val="superscript"/>
          <w:lang w:val="uk-UA"/>
        </w:rPr>
        <w:t>2</w:t>
      </w:r>
      <w:r w:rsidRPr="00CA2A98">
        <w:rPr>
          <w:lang w:val="uk-UA"/>
        </w:rPr>
        <w:t xml:space="preserve"> навісу перед </w:t>
      </w:r>
      <w:r w:rsidR="00AB066A" w:rsidRPr="00CA2A98">
        <w:rPr>
          <w:lang w:val="uk-UA"/>
        </w:rPr>
        <w:t xml:space="preserve">зварювальними дільницями з виконанням комплексу робіт, завершено ремонт та реконструкцію </w:t>
      </w:r>
      <w:proofErr w:type="spellStart"/>
      <w:r w:rsidR="00AB066A" w:rsidRPr="00CA2A98">
        <w:rPr>
          <w:lang w:val="uk-UA"/>
        </w:rPr>
        <w:t>душевих</w:t>
      </w:r>
      <w:proofErr w:type="spellEnd"/>
      <w:r w:rsidR="00AB066A" w:rsidRPr="00CA2A98">
        <w:rPr>
          <w:lang w:val="uk-UA"/>
        </w:rPr>
        <w:t xml:space="preserve"> 2-го поверху.</w:t>
      </w:r>
    </w:p>
    <w:p w:rsidR="00AB066A" w:rsidRPr="00CA2A98" w:rsidRDefault="00AB066A" w:rsidP="00AB066A">
      <w:pPr>
        <w:jc w:val="both"/>
        <w:rPr>
          <w:lang w:val="uk-UA"/>
        </w:rPr>
      </w:pPr>
      <w:r w:rsidRPr="00CA2A98">
        <w:rPr>
          <w:lang w:val="uk-UA"/>
        </w:rPr>
        <w:t xml:space="preserve">        Крім того за рахунок госпрозрахункових коштів виконано роботи по </w:t>
      </w:r>
      <w:r w:rsidR="00BE09F0" w:rsidRPr="00CA2A98">
        <w:rPr>
          <w:lang w:val="uk-UA"/>
        </w:rPr>
        <w:t>ремонту 196 м</w:t>
      </w:r>
      <w:r w:rsidR="00BE09F0" w:rsidRPr="00CA2A98">
        <w:rPr>
          <w:vertAlign w:val="superscript"/>
          <w:lang w:val="uk-UA"/>
        </w:rPr>
        <w:t>2</w:t>
      </w:r>
      <w:r w:rsidR="006B2F15" w:rsidRPr="00CA2A98">
        <w:rPr>
          <w:vertAlign w:val="superscript"/>
          <w:lang w:val="uk-UA"/>
        </w:rPr>
        <w:t xml:space="preserve"> </w:t>
      </w:r>
      <w:r w:rsidRPr="00CA2A98">
        <w:rPr>
          <w:lang w:val="uk-UA"/>
        </w:rPr>
        <w:t>козирка над мийк</w:t>
      </w:r>
      <w:r w:rsidR="00183B64" w:rsidRPr="00CA2A98">
        <w:rPr>
          <w:lang w:val="uk-UA"/>
        </w:rPr>
        <w:t>ою автомобілів та індивідуальними боксами</w:t>
      </w:r>
      <w:r w:rsidR="006B2F15" w:rsidRPr="00CA2A98">
        <w:rPr>
          <w:lang w:val="uk-UA"/>
        </w:rPr>
        <w:t xml:space="preserve"> </w:t>
      </w:r>
      <w:proofErr w:type="spellStart"/>
      <w:r w:rsidRPr="00CA2A98">
        <w:rPr>
          <w:lang w:val="uk-UA"/>
        </w:rPr>
        <w:t>парковки</w:t>
      </w:r>
      <w:proofErr w:type="spellEnd"/>
      <w:r w:rsidRPr="00CA2A98">
        <w:rPr>
          <w:lang w:val="uk-UA"/>
        </w:rPr>
        <w:t xml:space="preserve"> автомобілів. </w:t>
      </w:r>
    </w:p>
    <w:p w:rsidR="00270514" w:rsidRPr="00CA2A98" w:rsidRDefault="00270514" w:rsidP="00AB066A">
      <w:pPr>
        <w:jc w:val="both"/>
        <w:rPr>
          <w:lang w:val="uk-UA"/>
        </w:rPr>
      </w:pPr>
      <w:r w:rsidRPr="00CA2A98">
        <w:rPr>
          <w:lang w:val="uk-UA"/>
        </w:rPr>
        <w:t xml:space="preserve">         Забезпечено охорону пам’ятки архітектури «Палац юстиції» силами військовослужбовців військової частини 12</w:t>
      </w:r>
      <w:r w:rsidR="00183B64" w:rsidRPr="00CA2A98">
        <w:rPr>
          <w:lang w:val="uk-UA"/>
        </w:rPr>
        <w:t>41 Національної гвардії України</w:t>
      </w:r>
      <w:r w:rsidRPr="00CA2A98">
        <w:rPr>
          <w:lang w:val="uk-UA"/>
        </w:rPr>
        <w:t xml:space="preserve">. Видатки </w:t>
      </w:r>
      <w:r w:rsidR="00183B64" w:rsidRPr="00CA2A98">
        <w:rPr>
          <w:lang w:val="uk-UA"/>
        </w:rPr>
        <w:t xml:space="preserve">за дані послуги в </w:t>
      </w:r>
      <w:r w:rsidRPr="00CA2A98">
        <w:rPr>
          <w:lang w:val="uk-UA"/>
        </w:rPr>
        <w:t xml:space="preserve"> 2</w:t>
      </w:r>
      <w:r w:rsidR="00183B64" w:rsidRPr="00CA2A98">
        <w:rPr>
          <w:lang w:val="uk-UA"/>
        </w:rPr>
        <w:t>013 рік склали 200,4 тис. грн.</w:t>
      </w:r>
      <w:r w:rsidRPr="00CA2A98">
        <w:rPr>
          <w:lang w:val="uk-UA"/>
        </w:rPr>
        <w:t xml:space="preserve"> госпрозрахункових коштів, в 2014 році за рахунок бюджетних коштів – 240,0 тис. грн. та 12,7 тис. грн.. за рахунок госпрозрахунку, а в 2015 році за </w:t>
      </w:r>
      <w:r w:rsidR="00D024BF" w:rsidRPr="00CA2A98">
        <w:rPr>
          <w:lang w:val="uk-UA"/>
        </w:rPr>
        <w:t>рахунок бюджетних коштів 86,7</w:t>
      </w:r>
      <w:r w:rsidRPr="00CA2A98">
        <w:rPr>
          <w:lang w:val="uk-UA"/>
        </w:rPr>
        <w:t xml:space="preserve"> тис. грн..</w:t>
      </w:r>
    </w:p>
    <w:p w:rsidR="00270514" w:rsidRPr="00CA2A98" w:rsidRDefault="00270514" w:rsidP="00AB066A">
      <w:pPr>
        <w:jc w:val="both"/>
        <w:rPr>
          <w:lang w:val="uk-UA"/>
        </w:rPr>
      </w:pPr>
      <w:r w:rsidRPr="00CA2A98">
        <w:rPr>
          <w:lang w:val="uk-UA"/>
        </w:rPr>
        <w:t xml:space="preserve">         З 01 травня 2015 року підприємство ввело власну охорону, так як командування Нацгвардії України збільшило оплату за охороні послуги в 2,2 рази. Підприємство отримало ліцензію Міністерства внутрішніх справ України на проведення охоронної діяльності.</w:t>
      </w:r>
    </w:p>
    <w:p w:rsidR="00270514" w:rsidRPr="00CA2A98" w:rsidRDefault="00270514" w:rsidP="00AB066A">
      <w:pPr>
        <w:jc w:val="both"/>
        <w:rPr>
          <w:lang w:val="uk-UA"/>
        </w:rPr>
      </w:pPr>
      <w:r w:rsidRPr="00CA2A98">
        <w:rPr>
          <w:lang w:val="uk-UA"/>
        </w:rPr>
        <w:t xml:space="preserve">         З метою забезпечення охорони пропускного та </w:t>
      </w:r>
      <w:proofErr w:type="spellStart"/>
      <w:r w:rsidRPr="00CA2A98">
        <w:rPr>
          <w:lang w:val="uk-UA"/>
        </w:rPr>
        <w:t>внутріоб’єктового</w:t>
      </w:r>
      <w:proofErr w:type="spellEnd"/>
      <w:r w:rsidRPr="00CA2A98">
        <w:rPr>
          <w:lang w:val="uk-UA"/>
        </w:rPr>
        <w:t xml:space="preserve"> режиму</w:t>
      </w:r>
      <w:r w:rsidR="009B3A14" w:rsidRPr="00CA2A98">
        <w:rPr>
          <w:lang w:val="uk-UA"/>
        </w:rPr>
        <w:t xml:space="preserve"> </w:t>
      </w:r>
      <w:r w:rsidRPr="00CA2A98">
        <w:rPr>
          <w:lang w:val="uk-UA"/>
        </w:rPr>
        <w:t>пам’ятки архітектури «Палац юстиції» завершуються роботи по монтажу та встановленню зовнішнього та внутрішнього відео</w:t>
      </w:r>
      <w:r w:rsidR="009B3A14" w:rsidRPr="00CA2A98">
        <w:rPr>
          <w:lang w:val="uk-UA"/>
        </w:rPr>
        <w:t xml:space="preserve"> </w:t>
      </w:r>
      <w:r w:rsidRPr="00CA2A98">
        <w:rPr>
          <w:lang w:val="uk-UA"/>
        </w:rPr>
        <w:t xml:space="preserve">спостереження в </w:t>
      </w:r>
      <w:proofErr w:type="spellStart"/>
      <w:r w:rsidRPr="00CA2A98">
        <w:rPr>
          <w:lang w:val="uk-UA"/>
        </w:rPr>
        <w:t>адмінбудівлі</w:t>
      </w:r>
      <w:proofErr w:type="spellEnd"/>
      <w:r w:rsidRPr="00CA2A98">
        <w:rPr>
          <w:lang w:val="uk-UA"/>
        </w:rPr>
        <w:t xml:space="preserve"> по вул</w:t>
      </w:r>
      <w:r w:rsidR="00D024BF" w:rsidRPr="00CA2A98">
        <w:rPr>
          <w:lang w:val="uk-UA"/>
        </w:rPr>
        <w:t>. Грушевського, 1 вартістю 56,9 тис.</w:t>
      </w:r>
      <w:r w:rsidRPr="00CA2A98">
        <w:rPr>
          <w:lang w:val="uk-UA"/>
        </w:rPr>
        <w:t xml:space="preserve"> грн.</w:t>
      </w:r>
      <w:r w:rsidR="00183B64" w:rsidRPr="00CA2A98">
        <w:rPr>
          <w:lang w:val="uk-UA"/>
        </w:rPr>
        <w:t xml:space="preserve"> бюджетних коштів.</w:t>
      </w:r>
    </w:p>
    <w:p w:rsidR="006B2F15" w:rsidRPr="00CA2A98" w:rsidRDefault="006B2F15" w:rsidP="006B2F15">
      <w:pPr>
        <w:jc w:val="both"/>
        <w:rPr>
          <w:lang w:val="uk-UA"/>
        </w:rPr>
      </w:pPr>
      <w:r w:rsidRPr="00CA2A98">
        <w:rPr>
          <w:lang w:val="uk-UA"/>
        </w:rPr>
        <w:lastRenderedPageBreak/>
        <w:t xml:space="preserve">          Всього по цьому розділу виконано робіт на суму  2990,0 тис. грн.,  в тому числі за рахунок коштів програми 1407,1 тис. грн.., за рахунок госпрозрахункових коштів на суму 1582,9 тис. грн..</w:t>
      </w:r>
    </w:p>
    <w:p w:rsidR="00270514" w:rsidRPr="00CA2A98" w:rsidRDefault="00270514" w:rsidP="00AB066A">
      <w:pPr>
        <w:jc w:val="both"/>
        <w:rPr>
          <w:lang w:val="uk-UA"/>
        </w:rPr>
      </w:pPr>
    </w:p>
    <w:p w:rsidR="00784F54" w:rsidRPr="00CA2A98" w:rsidRDefault="006B2F15" w:rsidP="00784F54">
      <w:pPr>
        <w:jc w:val="both"/>
        <w:rPr>
          <w:i/>
          <w:lang w:val="uk-UA"/>
        </w:rPr>
      </w:pPr>
      <w:r w:rsidRPr="00CA2A98">
        <w:rPr>
          <w:i/>
          <w:lang w:val="uk-UA"/>
        </w:rPr>
        <w:t xml:space="preserve">         </w:t>
      </w:r>
      <w:r w:rsidR="00270514" w:rsidRPr="00CA2A98">
        <w:rPr>
          <w:i/>
          <w:lang w:val="uk-UA"/>
        </w:rPr>
        <w:t>ІІ.</w:t>
      </w:r>
      <w:r w:rsidRPr="00CA2A98">
        <w:rPr>
          <w:i/>
          <w:lang w:val="uk-UA"/>
        </w:rPr>
        <w:t xml:space="preserve"> </w:t>
      </w:r>
      <w:r w:rsidR="00AB066A" w:rsidRPr="00CA2A98">
        <w:rPr>
          <w:i/>
          <w:lang w:val="uk-UA"/>
        </w:rPr>
        <w:t>Транспортне обслуговування обласної ради, обласної державної адміністрації, заходів загальнодержавного та державного рівня, делегацій</w:t>
      </w:r>
      <w:r w:rsidR="00BE09F0" w:rsidRPr="00CA2A98">
        <w:rPr>
          <w:i/>
          <w:lang w:val="uk-UA"/>
        </w:rPr>
        <w:t xml:space="preserve"> інших держав, перевезення делегацій</w:t>
      </w:r>
      <w:r w:rsidR="00AB066A" w:rsidRPr="00CA2A98">
        <w:rPr>
          <w:i/>
          <w:lang w:val="uk-UA"/>
        </w:rPr>
        <w:t xml:space="preserve"> області в інші регіони з нагоди святкування державних свят та інших заходів.</w:t>
      </w:r>
    </w:p>
    <w:p w:rsidR="00183B64" w:rsidRPr="00CA2A98" w:rsidRDefault="00183B64" w:rsidP="00784F54">
      <w:pPr>
        <w:jc w:val="both"/>
        <w:rPr>
          <w:i/>
          <w:sz w:val="16"/>
          <w:szCs w:val="16"/>
          <w:lang w:val="uk-UA"/>
        </w:rPr>
      </w:pPr>
    </w:p>
    <w:p w:rsidR="00AB066A" w:rsidRPr="00CA2A98" w:rsidRDefault="006B2F15" w:rsidP="00784F54">
      <w:pPr>
        <w:jc w:val="both"/>
        <w:rPr>
          <w:lang w:val="uk-UA"/>
        </w:rPr>
      </w:pPr>
      <w:r w:rsidRPr="00CA2A98">
        <w:rPr>
          <w:lang w:val="uk-UA"/>
        </w:rPr>
        <w:t xml:space="preserve">        </w:t>
      </w:r>
      <w:r w:rsidR="00C60B95" w:rsidRPr="00CA2A98">
        <w:rPr>
          <w:lang w:val="uk-UA"/>
        </w:rPr>
        <w:t>К</w:t>
      </w:r>
      <w:r w:rsidR="0045022F" w:rsidRPr="00CA2A98">
        <w:rPr>
          <w:lang w:val="uk-UA"/>
        </w:rPr>
        <w:t>омунальним</w:t>
      </w:r>
      <w:r w:rsidR="00C60B95" w:rsidRPr="00CA2A98">
        <w:rPr>
          <w:lang w:val="uk-UA"/>
        </w:rPr>
        <w:t xml:space="preserve"> підприємством забезпечено надання транспортних послуг обласній ра</w:t>
      </w:r>
      <w:r w:rsidR="00270514" w:rsidRPr="00CA2A98">
        <w:rPr>
          <w:lang w:val="uk-UA"/>
        </w:rPr>
        <w:t>ді в 2013 році на 179</w:t>
      </w:r>
      <w:r w:rsidR="00D024BF" w:rsidRPr="00CA2A98">
        <w:rPr>
          <w:lang w:val="uk-UA"/>
        </w:rPr>
        <w:t>,0</w:t>
      </w:r>
      <w:r w:rsidR="00270514" w:rsidRPr="00CA2A98">
        <w:rPr>
          <w:lang w:val="uk-UA"/>
        </w:rPr>
        <w:t xml:space="preserve"> тис. грн.</w:t>
      </w:r>
      <w:r w:rsidR="00C60B95" w:rsidRPr="00CA2A98">
        <w:rPr>
          <w:lang w:val="uk-UA"/>
        </w:rPr>
        <w:t>, в 2014 році на 183</w:t>
      </w:r>
      <w:r w:rsidR="00D024BF" w:rsidRPr="00CA2A98">
        <w:rPr>
          <w:lang w:val="uk-UA"/>
        </w:rPr>
        <w:t>,0</w:t>
      </w:r>
      <w:r w:rsidR="00C60B95" w:rsidRPr="00CA2A98">
        <w:rPr>
          <w:lang w:val="uk-UA"/>
        </w:rPr>
        <w:t xml:space="preserve"> тис. грн., в 2015 році на 137</w:t>
      </w:r>
      <w:r w:rsidR="00D024BF" w:rsidRPr="00CA2A98">
        <w:rPr>
          <w:lang w:val="uk-UA"/>
        </w:rPr>
        <w:t>,0</w:t>
      </w:r>
      <w:r w:rsidR="00C60B95" w:rsidRPr="00CA2A98">
        <w:rPr>
          <w:lang w:val="uk-UA"/>
        </w:rPr>
        <w:t xml:space="preserve"> тис. грн..</w:t>
      </w:r>
    </w:p>
    <w:p w:rsidR="00C60B95" w:rsidRPr="00CA2A98" w:rsidRDefault="00C60B95" w:rsidP="00C60B95">
      <w:pPr>
        <w:jc w:val="both"/>
        <w:rPr>
          <w:lang w:val="uk-UA"/>
        </w:rPr>
      </w:pPr>
      <w:r w:rsidRPr="00CA2A98">
        <w:rPr>
          <w:lang w:val="uk-UA"/>
        </w:rPr>
        <w:t xml:space="preserve">        Об</w:t>
      </w:r>
      <w:r w:rsidR="00D024BF" w:rsidRPr="00CA2A98">
        <w:rPr>
          <w:lang w:val="uk-UA"/>
        </w:rPr>
        <w:t xml:space="preserve">ласній </w:t>
      </w:r>
      <w:r w:rsidRPr="00CA2A98">
        <w:rPr>
          <w:lang w:val="uk-UA"/>
        </w:rPr>
        <w:t>держадміністрації надано транспортних послуг</w:t>
      </w:r>
      <w:r w:rsidR="009B3A14" w:rsidRPr="00CA2A98">
        <w:rPr>
          <w:lang w:val="uk-UA"/>
        </w:rPr>
        <w:t xml:space="preserve"> </w:t>
      </w:r>
      <w:r w:rsidRPr="00CA2A98">
        <w:rPr>
          <w:lang w:val="uk-UA"/>
        </w:rPr>
        <w:t>в 2013 році на 375</w:t>
      </w:r>
      <w:r w:rsidR="00D024BF" w:rsidRPr="00CA2A98">
        <w:rPr>
          <w:lang w:val="uk-UA"/>
        </w:rPr>
        <w:t>,0</w:t>
      </w:r>
      <w:r w:rsidRPr="00CA2A98">
        <w:rPr>
          <w:lang w:val="uk-UA"/>
        </w:rPr>
        <w:t xml:space="preserve"> тис. грн.., в 2014 році на 131</w:t>
      </w:r>
      <w:r w:rsidR="00D024BF" w:rsidRPr="00CA2A98">
        <w:rPr>
          <w:lang w:val="uk-UA"/>
        </w:rPr>
        <w:t>,0</w:t>
      </w:r>
      <w:r w:rsidRPr="00CA2A98">
        <w:rPr>
          <w:lang w:val="uk-UA"/>
        </w:rPr>
        <w:t xml:space="preserve"> тис. грн., в 2015 році на 107</w:t>
      </w:r>
      <w:r w:rsidR="00D024BF" w:rsidRPr="00CA2A98">
        <w:rPr>
          <w:lang w:val="uk-UA"/>
        </w:rPr>
        <w:t>,0</w:t>
      </w:r>
      <w:r w:rsidRPr="00CA2A98">
        <w:rPr>
          <w:lang w:val="uk-UA"/>
        </w:rPr>
        <w:t xml:space="preserve"> тис. грн..</w:t>
      </w:r>
    </w:p>
    <w:p w:rsidR="00C60B95" w:rsidRPr="00CA2A98" w:rsidRDefault="00C60B95" w:rsidP="00C60B95">
      <w:pPr>
        <w:jc w:val="both"/>
        <w:rPr>
          <w:lang w:val="uk-UA"/>
        </w:rPr>
      </w:pPr>
      <w:r w:rsidRPr="00CA2A98">
        <w:rPr>
          <w:lang w:val="uk-UA"/>
        </w:rPr>
        <w:t xml:space="preserve">        Забезпечено транспортне обслуговування заходів загальнодержавного, регіонального рівня, делегацій інших держав, обслуговування заходів з нагоди святкування державних свят, тощо.</w:t>
      </w:r>
    </w:p>
    <w:p w:rsidR="00C60B95" w:rsidRPr="00CA2A98" w:rsidRDefault="00C60B95" w:rsidP="00C60B95">
      <w:pPr>
        <w:jc w:val="both"/>
        <w:rPr>
          <w:lang w:val="uk-UA"/>
        </w:rPr>
      </w:pPr>
      <w:r w:rsidRPr="00CA2A98">
        <w:rPr>
          <w:lang w:val="uk-UA"/>
        </w:rPr>
        <w:t xml:space="preserve">        Так, зокрема в 2013 році забезпечено обслуговування 22 заходів </w:t>
      </w:r>
      <w:r w:rsidR="00183B64" w:rsidRPr="00CA2A98">
        <w:rPr>
          <w:lang w:val="uk-UA"/>
        </w:rPr>
        <w:t xml:space="preserve">за рахунок </w:t>
      </w:r>
      <w:r w:rsidR="00D024BF" w:rsidRPr="00CA2A98">
        <w:rPr>
          <w:lang w:val="uk-UA"/>
        </w:rPr>
        <w:t xml:space="preserve">бюджетних коштів </w:t>
      </w:r>
      <w:r w:rsidRPr="00CA2A98">
        <w:rPr>
          <w:lang w:val="uk-UA"/>
        </w:rPr>
        <w:t xml:space="preserve">на </w:t>
      </w:r>
      <w:r w:rsidR="00D024BF" w:rsidRPr="00CA2A98">
        <w:rPr>
          <w:lang w:val="uk-UA"/>
        </w:rPr>
        <w:t xml:space="preserve">суму </w:t>
      </w:r>
      <w:r w:rsidRPr="00CA2A98">
        <w:rPr>
          <w:lang w:val="uk-UA"/>
        </w:rPr>
        <w:t xml:space="preserve">9,6 тис. грн.. та </w:t>
      </w:r>
      <w:r w:rsidR="003B0510" w:rsidRPr="00CA2A98">
        <w:rPr>
          <w:lang w:val="uk-UA"/>
        </w:rPr>
        <w:t xml:space="preserve">на </w:t>
      </w:r>
      <w:r w:rsidRPr="00CA2A98">
        <w:rPr>
          <w:lang w:val="uk-UA"/>
        </w:rPr>
        <w:t xml:space="preserve">9,4 тис. грн. госпрозрахункових коштів, в 2014 році </w:t>
      </w:r>
      <w:r w:rsidR="00757659" w:rsidRPr="00CA2A98">
        <w:rPr>
          <w:lang w:val="uk-UA"/>
        </w:rPr>
        <w:t>-</w:t>
      </w:r>
      <w:r w:rsidRPr="00CA2A98">
        <w:rPr>
          <w:lang w:val="uk-UA"/>
        </w:rPr>
        <w:t xml:space="preserve"> 21 захід </w:t>
      </w:r>
      <w:r w:rsidR="00757659" w:rsidRPr="00CA2A98">
        <w:rPr>
          <w:lang w:val="uk-UA"/>
        </w:rPr>
        <w:t xml:space="preserve">на </w:t>
      </w:r>
      <w:r w:rsidR="003B0510" w:rsidRPr="00CA2A98">
        <w:rPr>
          <w:lang w:val="uk-UA"/>
        </w:rPr>
        <w:t>18,6 тис. грн.</w:t>
      </w:r>
      <w:r w:rsidR="009B3A14" w:rsidRPr="00CA2A98">
        <w:rPr>
          <w:lang w:val="uk-UA"/>
        </w:rPr>
        <w:t xml:space="preserve"> </w:t>
      </w:r>
      <w:r w:rsidR="003B0510" w:rsidRPr="00CA2A98">
        <w:rPr>
          <w:lang w:val="uk-UA"/>
        </w:rPr>
        <w:t xml:space="preserve">за рахунок </w:t>
      </w:r>
      <w:r w:rsidRPr="00CA2A98">
        <w:rPr>
          <w:lang w:val="uk-UA"/>
        </w:rPr>
        <w:t>госпрозрахункових коштів</w:t>
      </w:r>
      <w:r w:rsidR="003B0510" w:rsidRPr="00CA2A98">
        <w:rPr>
          <w:lang w:val="uk-UA"/>
        </w:rPr>
        <w:t xml:space="preserve">, </w:t>
      </w:r>
      <w:r w:rsidRPr="00CA2A98">
        <w:rPr>
          <w:lang w:val="uk-UA"/>
        </w:rPr>
        <w:t xml:space="preserve">а в 2015 році </w:t>
      </w:r>
      <w:r w:rsidR="003B0510" w:rsidRPr="00CA2A98">
        <w:rPr>
          <w:lang w:val="uk-UA"/>
        </w:rPr>
        <w:t>- 18</w:t>
      </w:r>
      <w:r w:rsidRPr="00CA2A98">
        <w:rPr>
          <w:lang w:val="uk-UA"/>
        </w:rPr>
        <w:t xml:space="preserve"> заходів за рахунок </w:t>
      </w:r>
      <w:r w:rsidR="00D024BF" w:rsidRPr="00CA2A98">
        <w:rPr>
          <w:lang w:val="uk-UA"/>
        </w:rPr>
        <w:t xml:space="preserve">бюджетних коштів на </w:t>
      </w:r>
      <w:r w:rsidRPr="00CA2A98">
        <w:rPr>
          <w:lang w:val="uk-UA"/>
        </w:rPr>
        <w:t>10</w:t>
      </w:r>
      <w:r w:rsidR="00D024BF" w:rsidRPr="00CA2A98">
        <w:rPr>
          <w:lang w:val="uk-UA"/>
        </w:rPr>
        <w:t>,0</w:t>
      </w:r>
      <w:r w:rsidRPr="00CA2A98">
        <w:rPr>
          <w:lang w:val="uk-UA"/>
        </w:rPr>
        <w:t xml:space="preserve"> тис. грн.</w:t>
      </w:r>
      <w:r w:rsidR="00B1693D" w:rsidRPr="00CA2A98">
        <w:rPr>
          <w:lang w:val="uk-UA"/>
        </w:rPr>
        <w:t>.</w:t>
      </w:r>
    </w:p>
    <w:p w:rsidR="00B1693D" w:rsidRPr="00CA2A98" w:rsidRDefault="00B1693D" w:rsidP="00C60B95">
      <w:pPr>
        <w:jc w:val="both"/>
        <w:rPr>
          <w:lang w:val="uk-UA"/>
        </w:rPr>
      </w:pPr>
      <w:r w:rsidRPr="00CA2A98">
        <w:rPr>
          <w:lang w:val="uk-UA"/>
        </w:rPr>
        <w:t xml:space="preserve">        Зокрема, таких заходів, як відзначення Дня Соборності </w:t>
      </w:r>
      <w:r w:rsidR="003B0510" w:rsidRPr="00CA2A98">
        <w:rPr>
          <w:lang w:val="uk-UA"/>
        </w:rPr>
        <w:t>та Свободи України</w:t>
      </w:r>
      <w:r w:rsidRPr="00CA2A98">
        <w:rPr>
          <w:lang w:val="uk-UA"/>
        </w:rPr>
        <w:t xml:space="preserve">, 25-річчя виведення </w:t>
      </w:r>
      <w:r w:rsidR="00757659" w:rsidRPr="00CA2A98">
        <w:rPr>
          <w:lang w:val="uk-UA"/>
        </w:rPr>
        <w:t>військ</w:t>
      </w:r>
      <w:r w:rsidRPr="00CA2A98">
        <w:rPr>
          <w:lang w:val="uk-UA"/>
        </w:rPr>
        <w:t xml:space="preserve"> з Афганістану, </w:t>
      </w:r>
      <w:r w:rsidR="003B0510" w:rsidRPr="00CA2A98">
        <w:rPr>
          <w:lang w:val="uk-UA"/>
        </w:rPr>
        <w:t xml:space="preserve">обслуговування делегації округу </w:t>
      </w:r>
      <w:proofErr w:type="spellStart"/>
      <w:r w:rsidR="003B0510" w:rsidRPr="00CA2A98">
        <w:rPr>
          <w:lang w:val="uk-UA"/>
        </w:rPr>
        <w:t>Швабія</w:t>
      </w:r>
      <w:proofErr w:type="spellEnd"/>
      <w:r w:rsidR="003B0510" w:rsidRPr="00CA2A98">
        <w:rPr>
          <w:lang w:val="uk-UA"/>
        </w:rPr>
        <w:t xml:space="preserve"> ФРН, учасників благодійного фонду фестивалю «Буко</w:t>
      </w:r>
      <w:r w:rsidR="00183B64" w:rsidRPr="00CA2A98">
        <w:rPr>
          <w:lang w:val="uk-UA"/>
        </w:rPr>
        <w:t xml:space="preserve">винська мрія», вшанування </w:t>
      </w:r>
      <w:r w:rsidR="00CA2A98" w:rsidRPr="00CA2A98">
        <w:rPr>
          <w:lang w:val="uk-UA"/>
        </w:rPr>
        <w:t>пам</w:t>
      </w:r>
      <w:r w:rsidR="00CA2A98">
        <w:rPr>
          <w:lang w:val="uk-UA"/>
        </w:rPr>
        <w:t>'</w:t>
      </w:r>
      <w:r w:rsidR="00CA2A98" w:rsidRPr="00CA2A98">
        <w:rPr>
          <w:lang w:val="uk-UA"/>
        </w:rPr>
        <w:t>яті</w:t>
      </w:r>
      <w:r w:rsidR="003B0510" w:rsidRPr="00CA2A98">
        <w:rPr>
          <w:lang w:val="uk-UA"/>
        </w:rPr>
        <w:t xml:space="preserve"> жертв політичних репресій, заходів з </w:t>
      </w:r>
      <w:r w:rsidRPr="00CA2A98">
        <w:rPr>
          <w:lang w:val="uk-UA"/>
        </w:rPr>
        <w:t>відзнач</w:t>
      </w:r>
      <w:r w:rsidR="00183B64" w:rsidRPr="00CA2A98">
        <w:rPr>
          <w:lang w:val="uk-UA"/>
        </w:rPr>
        <w:t>ення Дня Незалежності України,</w:t>
      </w:r>
      <w:r w:rsidRPr="00CA2A98">
        <w:rPr>
          <w:lang w:val="uk-UA"/>
        </w:rPr>
        <w:t xml:space="preserve"> 70-річчя визволення України від фашистських загарбників, Дня Державного прапора України, перевезення в м. Київ представників новостворених громад області для зустрічі з Президентом України</w:t>
      </w:r>
      <w:r w:rsidR="00757659" w:rsidRPr="00CA2A98">
        <w:rPr>
          <w:lang w:val="uk-UA"/>
        </w:rPr>
        <w:t xml:space="preserve"> Порошенко П.О.</w:t>
      </w:r>
      <w:r w:rsidR="00183B64" w:rsidRPr="00CA2A98">
        <w:rPr>
          <w:lang w:val="uk-UA"/>
        </w:rPr>
        <w:t>, транспортне</w:t>
      </w:r>
      <w:r w:rsidRPr="00CA2A98">
        <w:rPr>
          <w:lang w:val="uk-UA"/>
        </w:rPr>
        <w:t xml:space="preserve"> забезпечення заходів в зв’язку з перебуванням в області Прем’єр-міністра України Яценюка А.П.</w:t>
      </w:r>
      <w:r w:rsidR="00757659" w:rsidRPr="00CA2A98">
        <w:rPr>
          <w:lang w:val="uk-UA"/>
        </w:rPr>
        <w:t>, тощо.</w:t>
      </w:r>
    </w:p>
    <w:p w:rsidR="006C4247" w:rsidRPr="00CA2A98" w:rsidRDefault="006C4247" w:rsidP="00C60B95">
      <w:pPr>
        <w:jc w:val="both"/>
        <w:rPr>
          <w:lang w:val="uk-UA"/>
        </w:rPr>
      </w:pPr>
    </w:p>
    <w:p w:rsidR="00183B64" w:rsidRPr="00CA2A98" w:rsidRDefault="00183B64" w:rsidP="00C60B95">
      <w:pPr>
        <w:jc w:val="both"/>
        <w:rPr>
          <w:sz w:val="16"/>
          <w:szCs w:val="16"/>
          <w:lang w:val="uk-UA"/>
        </w:rPr>
      </w:pPr>
    </w:p>
    <w:p w:rsidR="003B0510" w:rsidRPr="00CA2A98" w:rsidRDefault="006B2F15" w:rsidP="003B0510">
      <w:pPr>
        <w:jc w:val="both"/>
        <w:rPr>
          <w:i/>
          <w:lang w:val="uk-UA"/>
        </w:rPr>
      </w:pPr>
      <w:r w:rsidRPr="00CA2A98">
        <w:rPr>
          <w:i/>
          <w:lang w:val="uk-UA"/>
        </w:rPr>
        <w:t xml:space="preserve">        </w:t>
      </w:r>
      <w:r w:rsidR="003B0510" w:rsidRPr="00CA2A98">
        <w:rPr>
          <w:i/>
          <w:lang w:val="uk-UA"/>
        </w:rPr>
        <w:t>ІІІ. Створення умов для безпечного перевезення пасажирів - учасників заходів загальнодержавного та регіонального рівня. Проведення ремонту  транспортних засобів, приміщень, виробничих майстерень, обладнання та устаткування, іншого майна комунального підприємства, тощо.</w:t>
      </w:r>
    </w:p>
    <w:p w:rsidR="00183B64" w:rsidRPr="00CA2A98" w:rsidRDefault="00183B64" w:rsidP="003B0510">
      <w:pPr>
        <w:jc w:val="both"/>
        <w:rPr>
          <w:i/>
          <w:sz w:val="16"/>
          <w:szCs w:val="16"/>
          <w:lang w:val="uk-UA"/>
        </w:rPr>
      </w:pPr>
    </w:p>
    <w:p w:rsidR="003B0510" w:rsidRPr="00CA2A98" w:rsidRDefault="003B0510" w:rsidP="003B0510">
      <w:pPr>
        <w:jc w:val="both"/>
        <w:rPr>
          <w:lang w:val="uk-UA"/>
        </w:rPr>
      </w:pPr>
      <w:r w:rsidRPr="00CA2A98">
        <w:rPr>
          <w:lang w:val="uk-UA"/>
        </w:rPr>
        <w:t xml:space="preserve">         За 2013-2015 рр. підприємство забезпечило безпечні умови щодо транспортного </w:t>
      </w:r>
      <w:r w:rsidR="00EE60BC" w:rsidRPr="00CA2A98">
        <w:rPr>
          <w:lang w:val="uk-UA"/>
        </w:rPr>
        <w:t xml:space="preserve">обслуговування учасників 63 заходів загальнодержавного та </w:t>
      </w:r>
      <w:r w:rsidR="00EE60BC" w:rsidRPr="00CA2A98">
        <w:rPr>
          <w:lang w:val="uk-UA"/>
        </w:rPr>
        <w:lastRenderedPageBreak/>
        <w:t>регіонального рівня завдяки належному технічному обслуговуванню транспортних засобів.</w:t>
      </w:r>
    </w:p>
    <w:p w:rsidR="00EE60BC" w:rsidRPr="00CA2A98" w:rsidRDefault="00EE60BC" w:rsidP="003B0510">
      <w:pPr>
        <w:jc w:val="both"/>
        <w:rPr>
          <w:lang w:val="uk-UA"/>
        </w:rPr>
      </w:pPr>
      <w:r w:rsidRPr="00CA2A98">
        <w:rPr>
          <w:lang w:val="uk-UA"/>
        </w:rPr>
        <w:t xml:space="preserve">         В 2013-2015 рр. для проведення технічного обслуговування, ремонту та діагностики транспортних за</w:t>
      </w:r>
      <w:r w:rsidR="00453E07" w:rsidRPr="00CA2A98">
        <w:rPr>
          <w:lang w:val="uk-UA"/>
        </w:rPr>
        <w:t>собів видатки складають 169,7</w:t>
      </w:r>
      <w:r w:rsidRPr="00CA2A98">
        <w:rPr>
          <w:lang w:val="uk-UA"/>
        </w:rPr>
        <w:t xml:space="preserve"> тис. </w:t>
      </w:r>
      <w:r w:rsidR="00D024BF" w:rsidRPr="00CA2A98">
        <w:rPr>
          <w:lang w:val="uk-UA"/>
        </w:rPr>
        <w:t>гр</w:t>
      </w:r>
      <w:r w:rsidR="00453E07" w:rsidRPr="00CA2A98">
        <w:rPr>
          <w:lang w:val="uk-UA"/>
        </w:rPr>
        <w:t>н. бюджетних коштів та 356,6</w:t>
      </w:r>
      <w:r w:rsidRPr="00CA2A98">
        <w:rPr>
          <w:lang w:val="uk-UA"/>
        </w:rPr>
        <w:t xml:space="preserve"> тис. грн.. госпрозрахункових коштів.</w:t>
      </w:r>
    </w:p>
    <w:p w:rsidR="00EE60BC" w:rsidRPr="00CA2A98" w:rsidRDefault="00EE60BC" w:rsidP="003B0510">
      <w:pPr>
        <w:jc w:val="both"/>
        <w:rPr>
          <w:lang w:val="uk-UA"/>
        </w:rPr>
      </w:pPr>
      <w:r w:rsidRPr="00CA2A98">
        <w:rPr>
          <w:lang w:val="uk-UA"/>
        </w:rPr>
        <w:t xml:space="preserve">        Для проведення ремонту транспортних засобів, раціонального використання комплектуючих, </w:t>
      </w:r>
      <w:r w:rsidR="00183B64" w:rsidRPr="00CA2A98">
        <w:rPr>
          <w:lang w:val="uk-UA"/>
        </w:rPr>
        <w:t xml:space="preserve">придбання </w:t>
      </w:r>
      <w:r w:rsidRPr="00CA2A98">
        <w:rPr>
          <w:lang w:val="uk-UA"/>
        </w:rPr>
        <w:t>запасних частин, інструменту, паливно-мастильни</w:t>
      </w:r>
      <w:r w:rsidR="00453E07" w:rsidRPr="00CA2A98">
        <w:rPr>
          <w:lang w:val="uk-UA"/>
        </w:rPr>
        <w:t>х матеріалів використано 2194,4</w:t>
      </w:r>
      <w:r w:rsidRPr="00CA2A98">
        <w:rPr>
          <w:lang w:val="uk-UA"/>
        </w:rPr>
        <w:t xml:space="preserve"> тис. </w:t>
      </w:r>
      <w:r w:rsidR="00D024BF" w:rsidRPr="00CA2A98">
        <w:rPr>
          <w:lang w:val="uk-UA"/>
        </w:rPr>
        <w:t>гр</w:t>
      </w:r>
      <w:r w:rsidR="00453E07" w:rsidRPr="00CA2A98">
        <w:rPr>
          <w:lang w:val="uk-UA"/>
        </w:rPr>
        <w:t>н. бюджетних коштів та 1379,2</w:t>
      </w:r>
      <w:r w:rsidRPr="00CA2A98">
        <w:rPr>
          <w:lang w:val="uk-UA"/>
        </w:rPr>
        <w:t xml:space="preserve"> тис. грн.. госпрозрахункових коштів.</w:t>
      </w:r>
    </w:p>
    <w:p w:rsidR="00EE60BC" w:rsidRPr="00CA2A98" w:rsidRDefault="00EE60BC" w:rsidP="003B0510">
      <w:pPr>
        <w:jc w:val="both"/>
        <w:rPr>
          <w:lang w:val="uk-UA"/>
        </w:rPr>
      </w:pPr>
      <w:r w:rsidRPr="00CA2A98">
        <w:rPr>
          <w:lang w:val="uk-UA"/>
        </w:rPr>
        <w:t xml:space="preserve">        Для здійснення заходів щодо дотримання гігієни, охорони праці, техніки безпеки та протипоже</w:t>
      </w:r>
      <w:r w:rsidR="00453E07" w:rsidRPr="00CA2A98">
        <w:rPr>
          <w:lang w:val="uk-UA"/>
        </w:rPr>
        <w:t>жної безпеки використано 25,4</w:t>
      </w:r>
      <w:r w:rsidRPr="00CA2A98">
        <w:rPr>
          <w:lang w:val="uk-UA"/>
        </w:rPr>
        <w:t xml:space="preserve"> тис. г</w:t>
      </w:r>
      <w:r w:rsidR="00453E07" w:rsidRPr="00CA2A98">
        <w:rPr>
          <w:lang w:val="uk-UA"/>
        </w:rPr>
        <w:t>рн.. бюджетних коштів та 57,6</w:t>
      </w:r>
      <w:r w:rsidRPr="00CA2A98">
        <w:rPr>
          <w:lang w:val="uk-UA"/>
        </w:rPr>
        <w:t xml:space="preserve"> тис. грн.. госпрозрахункових коштів.</w:t>
      </w:r>
    </w:p>
    <w:p w:rsidR="00EE60BC" w:rsidRPr="00CA2A98" w:rsidRDefault="00453E07" w:rsidP="003B0510">
      <w:pPr>
        <w:jc w:val="both"/>
        <w:rPr>
          <w:lang w:val="uk-UA"/>
        </w:rPr>
      </w:pPr>
      <w:r w:rsidRPr="00CA2A98">
        <w:rPr>
          <w:lang w:val="uk-UA"/>
        </w:rPr>
        <w:t xml:space="preserve">       </w:t>
      </w:r>
      <w:r w:rsidR="005A681C" w:rsidRPr="00CA2A98">
        <w:rPr>
          <w:lang w:val="uk-UA"/>
        </w:rPr>
        <w:t xml:space="preserve">З метою забезпечення технічного захисту боксів індивідуальної </w:t>
      </w:r>
      <w:proofErr w:type="spellStart"/>
      <w:r w:rsidR="005A681C" w:rsidRPr="00CA2A98">
        <w:rPr>
          <w:lang w:val="uk-UA"/>
        </w:rPr>
        <w:t>парковки</w:t>
      </w:r>
      <w:proofErr w:type="spellEnd"/>
      <w:r w:rsidR="005A681C" w:rsidRPr="00CA2A98">
        <w:rPr>
          <w:lang w:val="uk-UA"/>
        </w:rPr>
        <w:t xml:space="preserve"> транспортних засобів, виробничих приміщень встановлено зовнішнє та внутрішнє відеоспостереження в автобазі для чого було використано </w:t>
      </w:r>
      <w:r w:rsidR="00D024BF" w:rsidRPr="00CA2A98">
        <w:rPr>
          <w:lang w:val="uk-UA"/>
        </w:rPr>
        <w:t>6,9</w:t>
      </w:r>
      <w:r w:rsidR="005A681C" w:rsidRPr="00CA2A98">
        <w:rPr>
          <w:lang w:val="uk-UA"/>
        </w:rPr>
        <w:t xml:space="preserve"> тис. грн.. бюджетних коштів та </w:t>
      </w:r>
      <w:r w:rsidR="00D024BF" w:rsidRPr="00CA2A98">
        <w:rPr>
          <w:lang w:val="uk-UA"/>
        </w:rPr>
        <w:t>3,2</w:t>
      </w:r>
      <w:r w:rsidR="005A681C" w:rsidRPr="00CA2A98">
        <w:rPr>
          <w:lang w:val="uk-UA"/>
        </w:rPr>
        <w:t xml:space="preserve"> тис. грн.. госпрозрахункових коштів. </w:t>
      </w:r>
    </w:p>
    <w:p w:rsidR="005A681C" w:rsidRPr="00CA2A98" w:rsidRDefault="005A681C" w:rsidP="003B0510">
      <w:pPr>
        <w:jc w:val="both"/>
        <w:rPr>
          <w:lang w:val="uk-UA"/>
        </w:rPr>
      </w:pPr>
      <w:r w:rsidRPr="00CA2A98">
        <w:rPr>
          <w:lang w:val="uk-UA"/>
        </w:rPr>
        <w:t xml:space="preserve">        В 2014 році забезпечено </w:t>
      </w:r>
      <w:r w:rsidR="00A44E15" w:rsidRPr="00CA2A98">
        <w:rPr>
          <w:lang w:val="uk-UA"/>
        </w:rPr>
        <w:t>проведення відновлювального ремонту, техобслуговування транспортних засобів та бойової техніки підрозділів територіальної оборони, Збройних сил України, Національної гвардії України та Чернівецького прикордонного загону.</w:t>
      </w:r>
    </w:p>
    <w:p w:rsidR="00A44E15" w:rsidRPr="00CA2A98" w:rsidRDefault="00453E07" w:rsidP="003B0510">
      <w:pPr>
        <w:jc w:val="both"/>
        <w:rPr>
          <w:lang w:val="uk-UA"/>
        </w:rPr>
      </w:pPr>
      <w:r w:rsidRPr="00CA2A98">
        <w:rPr>
          <w:lang w:val="uk-UA"/>
        </w:rPr>
        <w:t xml:space="preserve">       </w:t>
      </w:r>
      <w:r w:rsidR="00183B64" w:rsidRPr="00CA2A98">
        <w:rPr>
          <w:lang w:val="uk-UA"/>
        </w:rPr>
        <w:t>Б</w:t>
      </w:r>
      <w:r w:rsidR="00A44E15" w:rsidRPr="00CA2A98">
        <w:rPr>
          <w:lang w:val="uk-UA"/>
        </w:rPr>
        <w:t xml:space="preserve">уло виконано техобслуговування та ремонт 27 одиниць транспортних засобів та військової техніки військової частини А-2582, в автобазі капітально відремонтовано автомобіль </w:t>
      </w:r>
      <w:proofErr w:type="spellStart"/>
      <w:r w:rsidR="00A44E15" w:rsidRPr="00CA2A98">
        <w:rPr>
          <w:lang w:val="uk-UA"/>
        </w:rPr>
        <w:t>УАЗ-Б</w:t>
      </w:r>
      <w:proofErr w:type="spellEnd"/>
      <w:r w:rsidR="00A44E15" w:rsidRPr="00CA2A98">
        <w:rPr>
          <w:lang w:val="uk-UA"/>
        </w:rPr>
        <w:t>. працівниками автобази відпрацьовано 225 людино-днів, що в грошовому еквіваленті складають 49,5 тис. грн.., а вартість запчастин більше 11</w:t>
      </w:r>
      <w:r w:rsidR="00D024BF" w:rsidRPr="00CA2A98">
        <w:rPr>
          <w:lang w:val="uk-UA"/>
        </w:rPr>
        <w:t>,0</w:t>
      </w:r>
      <w:r w:rsidR="00A44E15" w:rsidRPr="00CA2A98">
        <w:rPr>
          <w:lang w:val="uk-UA"/>
        </w:rPr>
        <w:t xml:space="preserve"> тис. грн..</w:t>
      </w:r>
    </w:p>
    <w:p w:rsidR="00A44E15" w:rsidRPr="00CA2A98" w:rsidRDefault="00A44E15" w:rsidP="003B0510">
      <w:pPr>
        <w:jc w:val="both"/>
        <w:rPr>
          <w:lang w:val="uk-UA"/>
        </w:rPr>
      </w:pPr>
      <w:r w:rsidRPr="00CA2A98">
        <w:rPr>
          <w:lang w:val="uk-UA"/>
        </w:rPr>
        <w:t xml:space="preserve">      </w:t>
      </w:r>
      <w:r w:rsidR="006C4247" w:rsidRPr="00CA2A98">
        <w:rPr>
          <w:lang w:val="uk-UA"/>
        </w:rPr>
        <w:t xml:space="preserve">   </w:t>
      </w:r>
      <w:r w:rsidRPr="00CA2A98">
        <w:rPr>
          <w:lang w:val="uk-UA"/>
        </w:rPr>
        <w:t>Виконано техобслуговування, ремонт 10 одиниць транспортних засобів, які були передані військовим формуванням на території області, вартість запчастин складає 20,3 тис. грн.., а виконані роботи в грошовому еквіваленті становлять 10</w:t>
      </w:r>
      <w:r w:rsidR="00D024BF" w:rsidRPr="00CA2A98">
        <w:rPr>
          <w:lang w:val="uk-UA"/>
        </w:rPr>
        <w:t>,0</w:t>
      </w:r>
      <w:r w:rsidRPr="00CA2A98">
        <w:rPr>
          <w:lang w:val="uk-UA"/>
        </w:rPr>
        <w:t xml:space="preserve"> тис. грн..</w:t>
      </w:r>
    </w:p>
    <w:p w:rsidR="00A44E15" w:rsidRPr="00CA2A98" w:rsidRDefault="006C4247" w:rsidP="00A44E15">
      <w:pPr>
        <w:contextualSpacing/>
        <w:jc w:val="both"/>
        <w:rPr>
          <w:lang w:val="uk-UA"/>
        </w:rPr>
      </w:pPr>
      <w:r w:rsidRPr="00CA2A98">
        <w:rPr>
          <w:lang w:val="uk-UA"/>
        </w:rPr>
        <w:t xml:space="preserve">        </w:t>
      </w:r>
      <w:r w:rsidR="00A44E15" w:rsidRPr="00CA2A98">
        <w:rPr>
          <w:lang w:val="uk-UA"/>
        </w:rPr>
        <w:t>В 2014 році впродовж проведення заходів в зоні АТО підприємство забезпечило транспортне обслуговування по перевезенню військовослужбовців до Харківської, Луганської, Львівської, Закарпатської, Ровенської, областей, а також похорон військовослужбовців, які загинули на сході України, крім того виділялось паливно-мастильні матеріали для</w:t>
      </w:r>
      <w:r w:rsidR="00CC4670" w:rsidRPr="00CA2A98">
        <w:rPr>
          <w:lang w:val="uk-UA"/>
        </w:rPr>
        <w:t xml:space="preserve"> інших перевізників,</w:t>
      </w:r>
      <w:r w:rsidR="00CA2A98">
        <w:rPr>
          <w:lang w:val="uk-UA"/>
        </w:rPr>
        <w:t xml:space="preserve"> </w:t>
      </w:r>
      <w:r w:rsidR="00CC4670" w:rsidRPr="00CA2A98">
        <w:rPr>
          <w:lang w:val="uk-UA"/>
        </w:rPr>
        <w:t>в</w:t>
      </w:r>
      <w:r w:rsidR="00A44E15" w:rsidRPr="00CA2A98">
        <w:rPr>
          <w:lang w:val="uk-UA"/>
        </w:rPr>
        <w:t>сього на дані заходи витрачено 5650 літрів паливно-мастильних матеріалів на суму 92 тис. грн. Бюджетних коштів.</w:t>
      </w:r>
    </w:p>
    <w:p w:rsidR="005B583C" w:rsidRPr="00CA2A98" w:rsidRDefault="005B583C" w:rsidP="005B583C">
      <w:pPr>
        <w:jc w:val="both"/>
        <w:rPr>
          <w:b/>
          <w:lang w:val="uk-UA"/>
        </w:rPr>
      </w:pPr>
      <w:r w:rsidRPr="00CA2A98">
        <w:rPr>
          <w:lang w:val="uk-UA"/>
        </w:rPr>
        <w:t xml:space="preserve">       В 2015 році підприємство забезпечило перевезення військовослужбовців до учбових центрів Львівської, Рівненської областей та в зону АТО до Харківської, Луганської областей, доставки волонтерської допомоги, похорони </w:t>
      </w:r>
      <w:r w:rsidRPr="00CA2A98">
        <w:rPr>
          <w:lang w:val="uk-UA"/>
        </w:rPr>
        <w:lastRenderedPageBreak/>
        <w:t>військовослужбовців, які загинули на сході України. Всього було 72 виїзди з кілометражним пробігом більше 52 тис. км., витрачено 10 тис. літрів паливно-мастильн</w:t>
      </w:r>
      <w:r w:rsidR="005A102B" w:rsidRPr="00CA2A98">
        <w:rPr>
          <w:lang w:val="uk-UA"/>
        </w:rPr>
        <w:t>их матеріалів на суму більше 250</w:t>
      </w:r>
      <w:r w:rsidR="00D024BF" w:rsidRPr="00CA2A98">
        <w:rPr>
          <w:lang w:val="uk-UA"/>
        </w:rPr>
        <w:t>,0 тис. гр</w:t>
      </w:r>
      <w:r w:rsidRPr="00CA2A98">
        <w:rPr>
          <w:lang w:val="uk-UA"/>
        </w:rPr>
        <w:t>н.</w:t>
      </w:r>
    </w:p>
    <w:p w:rsidR="005B583C" w:rsidRPr="00CA2A98" w:rsidRDefault="005B583C" w:rsidP="005B583C">
      <w:pPr>
        <w:jc w:val="both"/>
        <w:rPr>
          <w:lang w:val="uk-UA"/>
        </w:rPr>
      </w:pPr>
      <w:r w:rsidRPr="00CA2A98">
        <w:rPr>
          <w:lang w:val="uk-UA"/>
        </w:rPr>
        <w:t xml:space="preserve">            Згідно Доручень обласної держадміністрації іншим перевізникам, які залучались для транспортного обслуговування заходів, в зв’язку з проведенням</w:t>
      </w:r>
      <w:r w:rsidR="00CA2A98">
        <w:rPr>
          <w:lang w:val="uk-UA"/>
        </w:rPr>
        <w:t xml:space="preserve"> </w:t>
      </w:r>
      <w:bookmarkStart w:id="0" w:name="_GoBack"/>
      <w:bookmarkEnd w:id="0"/>
      <w:r w:rsidR="00CC4670" w:rsidRPr="00CA2A98">
        <w:rPr>
          <w:lang w:val="uk-UA"/>
        </w:rPr>
        <w:t>АТО</w:t>
      </w:r>
      <w:r w:rsidRPr="00CA2A98">
        <w:rPr>
          <w:lang w:val="uk-UA"/>
        </w:rPr>
        <w:t>, згідно заяви Чернівецького обласного військового комісаріату, військової частини А-1920 та ВО «Буковина українському війську» виділено більше 2500 літрів паливно-мастильних матеріалів на суму більше 50</w:t>
      </w:r>
      <w:r w:rsidR="00D024BF" w:rsidRPr="00CA2A98">
        <w:rPr>
          <w:lang w:val="uk-UA"/>
        </w:rPr>
        <w:t>,0</w:t>
      </w:r>
      <w:r w:rsidRPr="00CA2A98">
        <w:rPr>
          <w:lang w:val="uk-UA"/>
        </w:rPr>
        <w:t xml:space="preserve"> тис. грн..</w:t>
      </w:r>
    </w:p>
    <w:p w:rsidR="006C4247" w:rsidRPr="00CA2A98" w:rsidRDefault="006C4247" w:rsidP="005B583C">
      <w:pPr>
        <w:jc w:val="both"/>
        <w:rPr>
          <w:lang w:val="uk-UA"/>
        </w:rPr>
      </w:pPr>
    </w:p>
    <w:p w:rsidR="00CC4670" w:rsidRPr="00CA2A98" w:rsidRDefault="00CC4670" w:rsidP="005B583C">
      <w:pPr>
        <w:jc w:val="both"/>
        <w:rPr>
          <w:sz w:val="16"/>
          <w:szCs w:val="16"/>
          <w:lang w:val="uk-UA"/>
        </w:rPr>
      </w:pPr>
    </w:p>
    <w:p w:rsidR="00CC4670" w:rsidRPr="00CA2A98" w:rsidRDefault="00453E07" w:rsidP="00B755A4">
      <w:pPr>
        <w:jc w:val="both"/>
        <w:rPr>
          <w:i/>
          <w:lang w:val="uk-UA"/>
        </w:rPr>
      </w:pPr>
      <w:r w:rsidRPr="00CA2A98">
        <w:rPr>
          <w:i/>
          <w:lang w:val="uk-UA"/>
        </w:rPr>
        <w:t xml:space="preserve">           </w:t>
      </w:r>
      <w:r w:rsidR="00CC4670" w:rsidRPr="00CA2A98">
        <w:rPr>
          <w:i/>
          <w:lang w:val="uk-UA"/>
        </w:rPr>
        <w:t>IV. Надання платних послуг,</w:t>
      </w:r>
      <w:r w:rsidRPr="00CA2A98">
        <w:rPr>
          <w:i/>
          <w:lang w:val="uk-UA"/>
        </w:rPr>
        <w:t xml:space="preserve"> </w:t>
      </w:r>
      <w:r w:rsidR="00CC4670" w:rsidRPr="00CA2A98">
        <w:rPr>
          <w:i/>
          <w:lang w:val="uk-UA"/>
        </w:rPr>
        <w:t>суб’єктам господарювання, територіальним підрозділам центральних органів виконавчої влади.</w:t>
      </w:r>
    </w:p>
    <w:p w:rsidR="00CC4670" w:rsidRPr="00CA2A98" w:rsidRDefault="00CC4670" w:rsidP="00B755A4">
      <w:pPr>
        <w:jc w:val="both"/>
        <w:rPr>
          <w:i/>
          <w:sz w:val="16"/>
          <w:szCs w:val="16"/>
          <w:lang w:val="uk-UA"/>
        </w:rPr>
      </w:pPr>
    </w:p>
    <w:p w:rsidR="00CC4670" w:rsidRPr="00CA2A98" w:rsidRDefault="00CC4670" w:rsidP="00B755A4">
      <w:pPr>
        <w:jc w:val="both"/>
        <w:rPr>
          <w:lang w:val="uk-UA"/>
        </w:rPr>
      </w:pPr>
      <w:r w:rsidRPr="00CA2A98">
        <w:rPr>
          <w:lang w:val="uk-UA"/>
        </w:rPr>
        <w:t xml:space="preserve">        В 2013-2015 рр. з метою залучення коштів для забезпечення фінансово-господарської діяльності юридичним, фізичним особам надавались авто послуги, послуги ремонту, </w:t>
      </w:r>
      <w:proofErr w:type="spellStart"/>
      <w:r w:rsidRPr="00CA2A98">
        <w:rPr>
          <w:lang w:val="uk-UA"/>
        </w:rPr>
        <w:t>парковки</w:t>
      </w:r>
      <w:proofErr w:type="spellEnd"/>
      <w:r w:rsidRPr="00CA2A98">
        <w:rPr>
          <w:lang w:val="uk-UA"/>
        </w:rPr>
        <w:t xml:space="preserve">, миття транспортних засобів, проведення </w:t>
      </w:r>
      <w:proofErr w:type="spellStart"/>
      <w:r w:rsidRPr="00CA2A98">
        <w:rPr>
          <w:lang w:val="uk-UA"/>
        </w:rPr>
        <w:t>передрейсових</w:t>
      </w:r>
      <w:proofErr w:type="spellEnd"/>
      <w:r w:rsidRPr="00CA2A98">
        <w:rPr>
          <w:lang w:val="uk-UA"/>
        </w:rPr>
        <w:t xml:space="preserve"> та </w:t>
      </w:r>
      <w:proofErr w:type="spellStart"/>
      <w:r w:rsidRPr="00CA2A98">
        <w:rPr>
          <w:lang w:val="uk-UA"/>
        </w:rPr>
        <w:t>післярейсових</w:t>
      </w:r>
      <w:proofErr w:type="spellEnd"/>
      <w:r w:rsidRPr="00CA2A98">
        <w:rPr>
          <w:lang w:val="uk-UA"/>
        </w:rPr>
        <w:t xml:space="preserve"> медоглядів водіїв та інші послуги. Всього було за</w:t>
      </w:r>
      <w:r w:rsidR="005047EA" w:rsidRPr="00CA2A98">
        <w:rPr>
          <w:lang w:val="uk-UA"/>
        </w:rPr>
        <w:t>лучено у звітному періоді 3091,8</w:t>
      </w:r>
      <w:r w:rsidRPr="00CA2A98">
        <w:rPr>
          <w:lang w:val="uk-UA"/>
        </w:rPr>
        <w:t xml:space="preserve"> тис. грн..</w:t>
      </w:r>
    </w:p>
    <w:p w:rsidR="006C4247" w:rsidRPr="00CA2A98" w:rsidRDefault="006C4247" w:rsidP="00B755A4">
      <w:pPr>
        <w:jc w:val="both"/>
        <w:rPr>
          <w:lang w:val="uk-UA"/>
        </w:rPr>
      </w:pPr>
    </w:p>
    <w:p w:rsidR="00CC4670" w:rsidRPr="00CA2A98" w:rsidRDefault="00CC4670" w:rsidP="00B755A4">
      <w:pPr>
        <w:jc w:val="both"/>
        <w:rPr>
          <w:sz w:val="16"/>
          <w:szCs w:val="16"/>
          <w:lang w:val="uk-UA"/>
        </w:rPr>
      </w:pPr>
    </w:p>
    <w:p w:rsidR="00CC4670" w:rsidRPr="00CA2A98" w:rsidRDefault="00453E07" w:rsidP="00B755A4">
      <w:pPr>
        <w:jc w:val="both"/>
        <w:rPr>
          <w:i/>
          <w:lang w:val="uk-UA"/>
        </w:rPr>
      </w:pPr>
      <w:r w:rsidRPr="00CA2A98">
        <w:rPr>
          <w:i/>
          <w:lang w:val="uk-UA"/>
        </w:rPr>
        <w:t xml:space="preserve">         </w:t>
      </w:r>
      <w:r w:rsidR="00CC4670" w:rsidRPr="00CA2A98">
        <w:rPr>
          <w:i/>
          <w:lang w:val="uk-UA"/>
        </w:rPr>
        <w:t>V. Часткове відшкодування витрат, які не покриваються доходами від основної діяльності.</w:t>
      </w:r>
    </w:p>
    <w:p w:rsidR="00CC4670" w:rsidRPr="00CA2A98" w:rsidRDefault="00CC4670" w:rsidP="00B755A4">
      <w:pPr>
        <w:jc w:val="both"/>
        <w:rPr>
          <w:sz w:val="16"/>
          <w:szCs w:val="16"/>
          <w:lang w:val="uk-UA"/>
        </w:rPr>
      </w:pPr>
    </w:p>
    <w:p w:rsidR="00CC4670" w:rsidRPr="00CA2A98" w:rsidRDefault="00CC4670" w:rsidP="00B755A4">
      <w:pPr>
        <w:jc w:val="both"/>
        <w:rPr>
          <w:lang w:val="uk-UA"/>
        </w:rPr>
      </w:pPr>
      <w:r w:rsidRPr="00CA2A98">
        <w:rPr>
          <w:lang w:val="uk-UA"/>
        </w:rPr>
        <w:t xml:space="preserve">         Для забезпечення діяльності комунального підприємства, недопущення заборгованості по соціальних виплатах та </w:t>
      </w:r>
      <w:proofErr w:type="spellStart"/>
      <w:r w:rsidRPr="00CA2A98">
        <w:rPr>
          <w:lang w:val="uk-UA"/>
        </w:rPr>
        <w:t>тепло-водо-</w:t>
      </w:r>
      <w:r w:rsidR="00B755A4" w:rsidRPr="00CA2A98">
        <w:rPr>
          <w:lang w:val="uk-UA"/>
        </w:rPr>
        <w:t>газо-</w:t>
      </w:r>
      <w:r w:rsidRPr="00CA2A98">
        <w:rPr>
          <w:lang w:val="uk-UA"/>
        </w:rPr>
        <w:t>електропостачання</w:t>
      </w:r>
      <w:proofErr w:type="spellEnd"/>
      <w:r w:rsidR="00B755A4" w:rsidRPr="00CA2A98">
        <w:rPr>
          <w:lang w:val="uk-UA"/>
        </w:rPr>
        <w:t xml:space="preserve">, якісне обслуговування </w:t>
      </w:r>
      <w:proofErr w:type="spellStart"/>
      <w:r w:rsidR="00B755A4" w:rsidRPr="00CA2A98">
        <w:rPr>
          <w:lang w:val="uk-UA"/>
        </w:rPr>
        <w:t>адмінбудівлі</w:t>
      </w:r>
      <w:proofErr w:type="spellEnd"/>
      <w:r w:rsidR="00B755A4" w:rsidRPr="00CA2A98">
        <w:rPr>
          <w:lang w:val="uk-UA"/>
        </w:rPr>
        <w:t>, забезпеченню в повному обсязі повноважень органів місцевого самоврядування та виконавчої влади за 2013-2015</w:t>
      </w:r>
      <w:r w:rsidR="005047EA" w:rsidRPr="00CA2A98">
        <w:rPr>
          <w:lang w:val="uk-UA"/>
        </w:rPr>
        <w:t xml:space="preserve"> рр. видатки складають 7993,5</w:t>
      </w:r>
      <w:r w:rsidR="00B755A4" w:rsidRPr="00CA2A98">
        <w:rPr>
          <w:lang w:val="uk-UA"/>
        </w:rPr>
        <w:t xml:space="preserve"> тис. грн. бюджетних коштів.</w:t>
      </w:r>
    </w:p>
    <w:p w:rsidR="00CC4670" w:rsidRPr="00CA2A98" w:rsidRDefault="00CC4670" w:rsidP="005B583C">
      <w:pPr>
        <w:jc w:val="both"/>
        <w:rPr>
          <w:b/>
          <w:lang w:val="uk-UA"/>
        </w:rPr>
      </w:pPr>
    </w:p>
    <w:p w:rsidR="003B0510" w:rsidRPr="00CA2A98" w:rsidRDefault="003B0510" w:rsidP="00B755A4">
      <w:pPr>
        <w:jc w:val="both"/>
        <w:rPr>
          <w:lang w:val="uk-UA"/>
        </w:rPr>
      </w:pPr>
    </w:p>
    <w:p w:rsidR="003B0510" w:rsidRPr="00CA2A98" w:rsidRDefault="003B0510" w:rsidP="00B1693D">
      <w:pPr>
        <w:rPr>
          <w:b/>
          <w:lang w:val="uk-UA"/>
        </w:rPr>
      </w:pPr>
    </w:p>
    <w:p w:rsidR="0068164E" w:rsidRPr="00CA2A98" w:rsidRDefault="0068164E" w:rsidP="0068164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2A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Директор комунального підприємства </w:t>
      </w:r>
    </w:p>
    <w:p w:rsidR="0068164E" w:rsidRPr="00CA2A98" w:rsidRDefault="0068164E" w:rsidP="0068164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2A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«Дирекція з обслуговування майна </w:t>
      </w:r>
    </w:p>
    <w:p w:rsidR="003D085C" w:rsidRDefault="0068164E" w:rsidP="00CC06D5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  <w:sectPr w:rsidR="003D085C" w:rsidSect="006B2F15">
          <w:headerReference w:type="default" r:id="rId7"/>
          <w:pgSz w:w="11906" w:h="16838"/>
          <w:pgMar w:top="1021" w:right="851" w:bottom="1077" w:left="1418" w:header="567" w:footer="454" w:gutter="0"/>
          <w:cols w:space="708"/>
          <w:titlePg/>
          <w:docGrid w:linePitch="382"/>
        </w:sectPr>
      </w:pPr>
      <w:r w:rsidRPr="00CA2A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спільної власності територіальних громад»    </w:t>
      </w:r>
      <w:r w:rsidR="00453E07" w:rsidRPr="00CA2A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</w:t>
      </w:r>
      <w:r w:rsidRPr="00CA2A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А.</w:t>
      </w:r>
      <w:proofErr w:type="spellStart"/>
      <w:r w:rsidRPr="00CA2A98">
        <w:rPr>
          <w:rFonts w:ascii="Times New Roman" w:hAnsi="Times New Roman" w:cs="Times New Roman"/>
          <w:b/>
          <w:bCs/>
          <w:sz w:val="28"/>
          <w:szCs w:val="28"/>
          <w:lang w:val="uk-UA"/>
        </w:rPr>
        <w:t>Федорук</w:t>
      </w:r>
      <w:proofErr w:type="spellEnd"/>
    </w:p>
    <w:p w:rsidR="003D085C" w:rsidRDefault="003D085C" w:rsidP="003D085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Додаток № 5 до Положення про порядок формування,</w:t>
      </w:r>
    </w:p>
    <w:p w:rsidR="003D085C" w:rsidRDefault="003D085C" w:rsidP="003D085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фінансування і моніторингу виконання регіональних</w:t>
      </w:r>
    </w:p>
    <w:p w:rsidR="003D085C" w:rsidRDefault="003D085C" w:rsidP="003D085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комплексних програм</w:t>
      </w:r>
    </w:p>
    <w:p w:rsidR="003D085C" w:rsidRDefault="003D085C" w:rsidP="003D085C">
      <w:pPr>
        <w:jc w:val="center"/>
        <w:rPr>
          <w:b/>
          <w:lang w:val="uk-UA"/>
        </w:rPr>
      </w:pPr>
    </w:p>
    <w:p w:rsidR="003D085C" w:rsidRDefault="003D085C" w:rsidP="003D085C">
      <w:pPr>
        <w:jc w:val="center"/>
        <w:rPr>
          <w:b/>
          <w:lang w:val="uk-UA"/>
        </w:rPr>
      </w:pPr>
      <w:r w:rsidRPr="005A624C">
        <w:rPr>
          <w:b/>
          <w:lang w:val="uk-UA"/>
        </w:rPr>
        <w:t xml:space="preserve">ІНФОРМАЦІЯ </w:t>
      </w:r>
      <w:r>
        <w:rPr>
          <w:b/>
          <w:lang w:val="uk-UA"/>
        </w:rPr>
        <w:t xml:space="preserve"> </w:t>
      </w:r>
      <w:r w:rsidRPr="005A624C">
        <w:rPr>
          <w:b/>
          <w:lang w:val="uk-UA"/>
        </w:rPr>
        <w:t>ПРО</w:t>
      </w:r>
      <w:r>
        <w:rPr>
          <w:b/>
          <w:lang w:val="uk-UA"/>
        </w:rPr>
        <w:t xml:space="preserve"> </w:t>
      </w:r>
      <w:r w:rsidRPr="005A624C">
        <w:rPr>
          <w:b/>
          <w:lang w:val="uk-UA"/>
        </w:rPr>
        <w:t xml:space="preserve"> ВИКОНАННЯ </w:t>
      </w:r>
      <w:r>
        <w:rPr>
          <w:b/>
          <w:lang w:val="uk-UA"/>
        </w:rPr>
        <w:t xml:space="preserve"> РЕГІОНАЛЬНОЇ  </w:t>
      </w:r>
      <w:r w:rsidRPr="005A624C">
        <w:rPr>
          <w:b/>
          <w:lang w:val="uk-UA"/>
        </w:rPr>
        <w:t xml:space="preserve">ПРОГРАМИ </w:t>
      </w:r>
      <w:r>
        <w:rPr>
          <w:b/>
          <w:lang w:val="uk-UA"/>
        </w:rPr>
        <w:t xml:space="preserve"> </w:t>
      </w:r>
      <w:r w:rsidRPr="005A624C">
        <w:rPr>
          <w:b/>
          <w:lang w:val="uk-UA"/>
        </w:rPr>
        <w:t>ЗА</w:t>
      </w:r>
      <w:r>
        <w:rPr>
          <w:b/>
          <w:lang w:val="uk-UA"/>
        </w:rPr>
        <w:t xml:space="preserve">  2013 - 2015  РО</w:t>
      </w:r>
      <w:r w:rsidRPr="005A624C">
        <w:rPr>
          <w:b/>
          <w:lang w:val="uk-UA"/>
        </w:rPr>
        <w:t>К</w:t>
      </w:r>
      <w:r>
        <w:rPr>
          <w:b/>
          <w:lang w:val="uk-UA"/>
        </w:rPr>
        <w:t>И</w:t>
      </w:r>
    </w:p>
    <w:p w:rsidR="003D085C" w:rsidRDefault="003D085C" w:rsidP="003D085C">
      <w:pPr>
        <w:rPr>
          <w:lang w:val="uk-UA"/>
        </w:rPr>
      </w:pPr>
      <w:r>
        <w:rPr>
          <w:lang w:val="uk-UA"/>
        </w:rPr>
        <w:t xml:space="preserve">    </w:t>
      </w:r>
      <w:r w:rsidRPr="005A624C">
        <w:rPr>
          <w:lang w:val="uk-UA"/>
        </w:rPr>
        <w:t xml:space="preserve"> 1.</w:t>
      </w:r>
      <w:r>
        <w:rPr>
          <w:lang w:val="uk-UA"/>
        </w:rPr>
        <w:t xml:space="preserve">   2282</w:t>
      </w:r>
      <w:r w:rsidRPr="005A624C">
        <w:rPr>
          <w:lang w:val="uk-UA"/>
        </w:rPr>
        <w:t xml:space="preserve">   </w:t>
      </w:r>
      <w:r>
        <w:rPr>
          <w:lang w:val="uk-UA"/>
        </w:rPr>
        <w:t xml:space="preserve">       Чернівецька обласна державна адміністрація.</w:t>
      </w:r>
    </w:p>
    <w:p w:rsidR="003D085C" w:rsidRPr="00BB4F7E" w:rsidRDefault="003D085C" w:rsidP="003D085C">
      <w:pPr>
        <w:rPr>
          <w:lang w:val="uk-UA"/>
        </w:rPr>
      </w:pPr>
      <w:r>
        <w:rPr>
          <w:lang w:val="uk-UA"/>
        </w:rPr>
        <w:t xml:space="preserve">     2.   2282          Комунальне підприємство «Дирекція з обслуговування майна спільної власності територіальних громад»</w:t>
      </w:r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A624C">
        <w:rPr>
          <w:rFonts w:ascii="Times New Roman" w:hAnsi="Times New Roman" w:cs="Times New Roman"/>
          <w:sz w:val="28"/>
          <w:szCs w:val="28"/>
          <w:lang w:val="uk-UA"/>
        </w:rPr>
        <w:t xml:space="preserve">3.   250404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A62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Регіональна п</w:t>
      </w:r>
      <w:r w:rsidRPr="005A624C">
        <w:rPr>
          <w:rFonts w:ascii="Times New Roman" w:hAnsi="Times New Roman" w:cs="Times New Roman"/>
          <w:sz w:val="28"/>
          <w:szCs w:val="28"/>
          <w:lang w:val="uk-UA"/>
        </w:rPr>
        <w:t xml:space="preserve">рограма підтримки та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«Дирекція з обслуговування</w:t>
      </w:r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майна спільної власності територіальних громад»  на 2013 – 2015 роки, затверджена Рішенням  ХІ</w:t>
      </w:r>
      <w:r w:rsidRPr="001D3A4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D3A40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1D3A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D3A4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D3A40">
        <w:rPr>
          <w:rFonts w:ascii="Times New Roman" w:hAnsi="Times New Roman" w:cs="Times New Roman"/>
          <w:sz w:val="28"/>
          <w:szCs w:val="28"/>
          <w:lang w:val="uk-UA"/>
        </w:rPr>
        <w:t>І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Чернівецької обласної   ради   від 25.12.2012     № 180-14/12</w:t>
      </w:r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62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4.  Аналіз виконання за видатками в цілому за програмою:</w:t>
      </w:r>
    </w:p>
    <w:p w:rsidR="003D085C" w:rsidRPr="00163E2F" w:rsidRDefault="003D085C" w:rsidP="003D085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163E2F">
        <w:rPr>
          <w:rFonts w:ascii="Times New Roman" w:hAnsi="Times New Roman" w:cs="Times New Roman"/>
          <w:sz w:val="24"/>
          <w:szCs w:val="24"/>
          <w:lang w:val="uk-UA"/>
        </w:rPr>
        <w:t>тис. грн.</w:t>
      </w:r>
    </w:p>
    <w:tbl>
      <w:tblPr>
        <w:tblStyle w:val="aa"/>
        <w:tblW w:w="0" w:type="auto"/>
        <w:tblLook w:val="04A0"/>
      </w:tblPr>
      <w:tblGrid>
        <w:gridCol w:w="1489"/>
        <w:gridCol w:w="1495"/>
        <w:gridCol w:w="1528"/>
        <w:gridCol w:w="1487"/>
        <w:gridCol w:w="1493"/>
        <w:gridCol w:w="1528"/>
        <w:gridCol w:w="1461"/>
        <w:gridCol w:w="1458"/>
        <w:gridCol w:w="1489"/>
        <w:gridCol w:w="1528"/>
      </w:tblGrid>
      <w:tr w:rsidR="003D085C" w:rsidTr="00207DEB">
        <w:tc>
          <w:tcPr>
            <w:tcW w:w="4531" w:type="dxa"/>
            <w:gridSpan w:val="3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A624C">
              <w:rPr>
                <w:rFonts w:ascii="Times New Roman" w:hAnsi="Times New Roman" w:cs="Times New Roman"/>
                <w:lang w:val="uk-UA"/>
              </w:rPr>
              <w:t>Бюджетні асигнування з врахуванням змін</w:t>
            </w:r>
          </w:p>
        </w:tc>
        <w:tc>
          <w:tcPr>
            <w:tcW w:w="4528" w:type="dxa"/>
            <w:gridSpan w:val="3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A624C">
              <w:rPr>
                <w:rFonts w:ascii="Times New Roman" w:hAnsi="Times New Roman" w:cs="Times New Roman"/>
                <w:lang w:val="uk-UA"/>
              </w:rPr>
              <w:t>Проведені видатки</w:t>
            </w:r>
          </w:p>
        </w:tc>
        <w:tc>
          <w:tcPr>
            <w:tcW w:w="6010" w:type="dxa"/>
            <w:gridSpan w:val="4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63E2F">
              <w:rPr>
                <w:rFonts w:ascii="Times New Roman" w:hAnsi="Times New Roman" w:cs="Times New Roman"/>
                <w:lang w:val="uk-UA"/>
              </w:rPr>
              <w:t>відхилення</w:t>
            </w:r>
          </w:p>
        </w:tc>
      </w:tr>
      <w:tr w:rsidR="003D085C" w:rsidTr="00207DEB">
        <w:tc>
          <w:tcPr>
            <w:tcW w:w="1500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03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528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499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01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528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2985" w:type="dxa"/>
            <w:gridSpan w:val="2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497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E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528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Спеціальний фонд</w:t>
            </w:r>
          </w:p>
        </w:tc>
      </w:tr>
      <w:tr w:rsidR="003D085C" w:rsidRPr="00163E2F" w:rsidTr="00207DEB">
        <w:tc>
          <w:tcPr>
            <w:tcW w:w="1500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63E2F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1503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63E2F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2</w:t>
            </w:r>
          </w:p>
        </w:tc>
        <w:tc>
          <w:tcPr>
            <w:tcW w:w="1528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63E2F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3</w:t>
            </w:r>
          </w:p>
        </w:tc>
        <w:tc>
          <w:tcPr>
            <w:tcW w:w="1499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63E2F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4</w:t>
            </w:r>
          </w:p>
        </w:tc>
        <w:tc>
          <w:tcPr>
            <w:tcW w:w="1501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63E2F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5</w:t>
            </w:r>
          </w:p>
        </w:tc>
        <w:tc>
          <w:tcPr>
            <w:tcW w:w="1528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63E2F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6</w:t>
            </w:r>
          </w:p>
        </w:tc>
        <w:tc>
          <w:tcPr>
            <w:tcW w:w="2985" w:type="dxa"/>
            <w:gridSpan w:val="2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63E2F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7</w:t>
            </w:r>
          </w:p>
        </w:tc>
        <w:tc>
          <w:tcPr>
            <w:tcW w:w="1497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63E2F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8</w:t>
            </w:r>
          </w:p>
        </w:tc>
        <w:tc>
          <w:tcPr>
            <w:tcW w:w="1528" w:type="dxa"/>
          </w:tcPr>
          <w:p w:rsidR="003D085C" w:rsidRPr="00163E2F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163E2F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9</w:t>
            </w:r>
          </w:p>
        </w:tc>
      </w:tr>
      <w:tr w:rsidR="003D085C" w:rsidTr="00207DEB">
        <w:tc>
          <w:tcPr>
            <w:tcW w:w="1500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8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9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01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8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3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2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7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8" w:type="dxa"/>
          </w:tcPr>
          <w:p w:rsidR="003D085C" w:rsidRPr="00163E2F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D085C" w:rsidTr="00207DEB">
        <w:tc>
          <w:tcPr>
            <w:tcW w:w="1500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12109,7</w:t>
            </w:r>
          </w:p>
        </w:tc>
        <w:tc>
          <w:tcPr>
            <w:tcW w:w="1503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11209,7</w:t>
            </w:r>
          </w:p>
        </w:tc>
        <w:tc>
          <w:tcPr>
            <w:tcW w:w="1528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900,0</w:t>
            </w:r>
          </w:p>
        </w:tc>
        <w:tc>
          <w:tcPr>
            <w:tcW w:w="1499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12109,7</w:t>
            </w:r>
          </w:p>
        </w:tc>
        <w:tc>
          <w:tcPr>
            <w:tcW w:w="1501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11209,7</w:t>
            </w:r>
          </w:p>
        </w:tc>
        <w:tc>
          <w:tcPr>
            <w:tcW w:w="1528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900,0</w:t>
            </w:r>
          </w:p>
        </w:tc>
        <w:tc>
          <w:tcPr>
            <w:tcW w:w="1493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492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497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528" w:type="dxa"/>
          </w:tcPr>
          <w:p w:rsidR="003D085C" w:rsidRPr="005A624C" w:rsidRDefault="003D085C" w:rsidP="00207D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D085C" w:rsidTr="00207DEB">
        <w:tc>
          <w:tcPr>
            <w:tcW w:w="1500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8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9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01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8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3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2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7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8" w:type="dxa"/>
          </w:tcPr>
          <w:p w:rsidR="003D085C" w:rsidRPr="005A624C" w:rsidRDefault="003D085C" w:rsidP="00207DE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D085C" w:rsidRPr="005A624C" w:rsidRDefault="003D085C" w:rsidP="003D085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085C" w:rsidRDefault="003D085C" w:rsidP="003D085C">
      <w:pPr>
        <w:rPr>
          <w:lang w:val="uk-UA"/>
        </w:rPr>
      </w:pPr>
      <w:r>
        <w:rPr>
          <w:lang w:val="uk-UA"/>
        </w:rPr>
        <w:t xml:space="preserve"> </w:t>
      </w:r>
      <w:r w:rsidRPr="005A624C">
        <w:rPr>
          <w:lang w:val="uk-UA"/>
        </w:rPr>
        <w:t xml:space="preserve"> </w:t>
      </w:r>
    </w:p>
    <w:p w:rsidR="003D085C" w:rsidRDefault="003D085C" w:rsidP="003D085C">
      <w:pPr>
        <w:rPr>
          <w:lang w:val="uk-UA"/>
        </w:rPr>
      </w:pPr>
    </w:p>
    <w:p w:rsidR="003D085C" w:rsidRDefault="003D085C" w:rsidP="003D085C">
      <w:pPr>
        <w:rPr>
          <w:lang w:val="uk-UA"/>
        </w:rPr>
      </w:pPr>
      <w:r>
        <w:rPr>
          <w:lang w:val="uk-UA"/>
        </w:rPr>
        <w:t xml:space="preserve">                        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«Дирекція з </w:t>
      </w:r>
      <w:proofErr w:type="spellStart"/>
      <w:r>
        <w:rPr>
          <w:lang w:val="uk-UA"/>
        </w:rPr>
        <w:t>ОМСВТГ</w:t>
      </w:r>
      <w:proofErr w:type="spellEnd"/>
      <w:r>
        <w:rPr>
          <w:lang w:val="uk-UA"/>
        </w:rPr>
        <w:t>»                                                                    А.</w:t>
      </w:r>
      <w:proofErr w:type="spellStart"/>
      <w:r>
        <w:rPr>
          <w:lang w:val="uk-UA"/>
        </w:rPr>
        <w:t>Федорук</w:t>
      </w:r>
      <w:proofErr w:type="spellEnd"/>
    </w:p>
    <w:p w:rsidR="003D085C" w:rsidRPr="005A624C" w:rsidRDefault="003D085C" w:rsidP="003D085C">
      <w:pPr>
        <w:rPr>
          <w:lang w:val="uk-UA"/>
        </w:rPr>
      </w:pPr>
      <w:r>
        <w:rPr>
          <w:lang w:val="uk-UA"/>
        </w:rPr>
        <w:t xml:space="preserve">                        Головний бухгалтер                                                                                                 Н.</w:t>
      </w:r>
      <w:proofErr w:type="spellStart"/>
      <w:r>
        <w:rPr>
          <w:lang w:val="uk-UA"/>
        </w:rPr>
        <w:t>Фатенко</w:t>
      </w:r>
      <w:proofErr w:type="spellEnd"/>
    </w:p>
    <w:p w:rsidR="003D085C" w:rsidRDefault="003D085C">
      <w:pPr>
        <w:rPr>
          <w:rFonts w:eastAsia="Calibri"/>
          <w:lang w:val="uk-UA"/>
        </w:rPr>
      </w:pPr>
      <w:r>
        <w:rPr>
          <w:lang w:val="uk-UA"/>
        </w:rPr>
        <w:br w:type="page"/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C2221">
        <w:rPr>
          <w:rFonts w:ascii="Times New Roman" w:hAnsi="Times New Roman" w:cs="Times New Roman"/>
          <w:sz w:val="28"/>
          <w:szCs w:val="28"/>
          <w:lang w:val="uk-UA"/>
        </w:rPr>
        <w:lastRenderedPageBreak/>
        <w:t>6.1.  Аналіз виконання показників</w:t>
      </w:r>
      <w:r w:rsidRPr="008C2221">
        <w:rPr>
          <w:rFonts w:ascii="Times New Roman" w:hAnsi="Times New Roman" w:cs="Times New Roman"/>
          <w:lang w:val="uk-UA"/>
        </w:rPr>
        <w:t xml:space="preserve"> </w:t>
      </w:r>
      <w:r w:rsidRPr="008C2221">
        <w:rPr>
          <w:rFonts w:ascii="Times New Roman" w:hAnsi="Times New Roman" w:cs="Times New Roman"/>
          <w:sz w:val="28"/>
          <w:szCs w:val="28"/>
          <w:lang w:val="uk-UA"/>
        </w:rPr>
        <w:t>затрат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пояснення щодо їх виконання по</w:t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Регіональній програмі підтримки та розвитку </w:t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«Дирекція з обслуговування майна спільної власності </w:t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громад» за 2013 - 2015 роки.</w:t>
      </w:r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085C" w:rsidRPr="008C2221" w:rsidRDefault="003D085C" w:rsidP="003D085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Pr="008C2221">
        <w:rPr>
          <w:rFonts w:ascii="Times New Roman" w:hAnsi="Times New Roman" w:cs="Times New Roman"/>
          <w:sz w:val="24"/>
          <w:szCs w:val="24"/>
          <w:lang w:val="uk-UA"/>
        </w:rPr>
        <w:t>(тис. грн.)</w:t>
      </w:r>
    </w:p>
    <w:tbl>
      <w:tblPr>
        <w:tblStyle w:val="aa"/>
        <w:tblW w:w="0" w:type="auto"/>
        <w:tblLook w:val="04A0"/>
      </w:tblPr>
      <w:tblGrid>
        <w:gridCol w:w="622"/>
        <w:gridCol w:w="2390"/>
        <w:gridCol w:w="1637"/>
        <w:gridCol w:w="2388"/>
        <w:gridCol w:w="1421"/>
        <w:gridCol w:w="1769"/>
        <w:gridCol w:w="1445"/>
        <w:gridCol w:w="1672"/>
        <w:gridCol w:w="1612"/>
      </w:tblGrid>
      <w:tr w:rsidR="003D085C" w:rsidTr="00E9622E">
        <w:tc>
          <w:tcPr>
            <w:tcW w:w="661" w:type="dxa"/>
            <w:vMerge w:val="restart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2636" w:type="dxa"/>
            <w:vMerge w:val="restart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Джерела фінансування програми</w:t>
            </w:r>
          </w:p>
        </w:tc>
        <w:tc>
          <w:tcPr>
            <w:tcW w:w="1666" w:type="dxa"/>
            <w:vMerge w:val="restart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Джерело інформації</w:t>
            </w:r>
          </w:p>
        </w:tc>
        <w:tc>
          <w:tcPr>
            <w:tcW w:w="2699" w:type="dxa"/>
            <w:vMerge w:val="restart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Визначено </w:t>
            </w: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програмою</w:t>
            </w:r>
          </w:p>
        </w:tc>
        <w:tc>
          <w:tcPr>
            <w:tcW w:w="1421" w:type="dxa"/>
            <w:vMerge w:val="restart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Затверджено бюджетом</w:t>
            </w:r>
          </w:p>
        </w:tc>
        <w:tc>
          <w:tcPr>
            <w:tcW w:w="1398" w:type="dxa"/>
            <w:vMerge w:val="restart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Профінансовано</w:t>
            </w:r>
          </w:p>
        </w:tc>
        <w:tc>
          <w:tcPr>
            <w:tcW w:w="1445" w:type="dxa"/>
            <w:vMerge w:val="restart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Використано</w:t>
            </w:r>
          </w:p>
        </w:tc>
        <w:tc>
          <w:tcPr>
            <w:tcW w:w="3370" w:type="dxa"/>
            <w:gridSpan w:val="2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Рівень виконання  (%%)</w:t>
            </w:r>
          </w:p>
        </w:tc>
      </w:tr>
      <w:tr w:rsidR="003D085C" w:rsidTr="00E9622E">
        <w:tc>
          <w:tcPr>
            <w:tcW w:w="661" w:type="dxa"/>
            <w:vMerge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36" w:type="dxa"/>
            <w:vMerge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66" w:type="dxa"/>
            <w:vMerge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9" w:type="dxa"/>
            <w:vMerge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21" w:type="dxa"/>
            <w:vMerge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8" w:type="dxa"/>
            <w:vMerge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45" w:type="dxa"/>
            <w:vMerge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3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затвердженого бюджетом (гр.7:гр.5)</w:t>
            </w:r>
          </w:p>
        </w:tc>
        <w:tc>
          <w:tcPr>
            <w:tcW w:w="1677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до визначеного програмою (гр.7:гр.4)</w:t>
            </w:r>
          </w:p>
        </w:tc>
      </w:tr>
      <w:tr w:rsidR="003D085C" w:rsidRPr="008C2221" w:rsidTr="00E9622E">
        <w:tc>
          <w:tcPr>
            <w:tcW w:w="661" w:type="dxa"/>
          </w:tcPr>
          <w:p w:rsidR="003D085C" w:rsidRPr="008C2221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8C2221">
              <w:rPr>
                <w:rFonts w:ascii="Times New Roman" w:hAnsi="Times New Roman" w:cs="Times New Roman"/>
                <w:i/>
                <w:lang w:val="uk-UA"/>
              </w:rPr>
              <w:t>1</w:t>
            </w:r>
          </w:p>
        </w:tc>
        <w:tc>
          <w:tcPr>
            <w:tcW w:w="2636" w:type="dxa"/>
          </w:tcPr>
          <w:p w:rsidR="003D085C" w:rsidRPr="008C2221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8C2221">
              <w:rPr>
                <w:rFonts w:ascii="Times New Roman" w:hAnsi="Times New Roman" w:cs="Times New Roman"/>
                <w:i/>
                <w:lang w:val="uk-UA"/>
              </w:rPr>
              <w:t>2</w:t>
            </w:r>
          </w:p>
        </w:tc>
        <w:tc>
          <w:tcPr>
            <w:tcW w:w="1666" w:type="dxa"/>
          </w:tcPr>
          <w:p w:rsidR="003D085C" w:rsidRPr="008C2221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8C2221">
              <w:rPr>
                <w:rFonts w:ascii="Times New Roman" w:hAnsi="Times New Roman" w:cs="Times New Roman"/>
                <w:i/>
                <w:lang w:val="uk-UA"/>
              </w:rPr>
              <w:t>3</w:t>
            </w:r>
          </w:p>
        </w:tc>
        <w:tc>
          <w:tcPr>
            <w:tcW w:w="2699" w:type="dxa"/>
          </w:tcPr>
          <w:p w:rsidR="003D085C" w:rsidRPr="008C2221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8C2221">
              <w:rPr>
                <w:rFonts w:ascii="Times New Roman" w:hAnsi="Times New Roman" w:cs="Times New Roman"/>
                <w:i/>
                <w:lang w:val="uk-UA"/>
              </w:rPr>
              <w:t>4</w:t>
            </w:r>
          </w:p>
        </w:tc>
        <w:tc>
          <w:tcPr>
            <w:tcW w:w="1421" w:type="dxa"/>
          </w:tcPr>
          <w:p w:rsidR="003D085C" w:rsidRPr="008C2221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8C2221">
              <w:rPr>
                <w:rFonts w:ascii="Times New Roman" w:hAnsi="Times New Roman" w:cs="Times New Roman"/>
                <w:i/>
                <w:lang w:val="uk-UA"/>
              </w:rPr>
              <w:t>5</w:t>
            </w:r>
          </w:p>
        </w:tc>
        <w:tc>
          <w:tcPr>
            <w:tcW w:w="1398" w:type="dxa"/>
          </w:tcPr>
          <w:p w:rsidR="003D085C" w:rsidRPr="008C2221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8C2221">
              <w:rPr>
                <w:rFonts w:ascii="Times New Roman" w:hAnsi="Times New Roman" w:cs="Times New Roman"/>
                <w:i/>
                <w:lang w:val="uk-UA"/>
              </w:rPr>
              <w:t>6</w:t>
            </w:r>
          </w:p>
        </w:tc>
        <w:tc>
          <w:tcPr>
            <w:tcW w:w="1445" w:type="dxa"/>
          </w:tcPr>
          <w:p w:rsidR="003D085C" w:rsidRPr="008C2221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8C2221">
              <w:rPr>
                <w:rFonts w:ascii="Times New Roman" w:hAnsi="Times New Roman" w:cs="Times New Roman"/>
                <w:i/>
                <w:lang w:val="uk-UA"/>
              </w:rPr>
              <w:t>7</w:t>
            </w:r>
          </w:p>
        </w:tc>
        <w:tc>
          <w:tcPr>
            <w:tcW w:w="1693" w:type="dxa"/>
          </w:tcPr>
          <w:p w:rsidR="003D085C" w:rsidRPr="008C2221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8C2221">
              <w:rPr>
                <w:rFonts w:ascii="Times New Roman" w:hAnsi="Times New Roman" w:cs="Times New Roman"/>
                <w:i/>
                <w:lang w:val="uk-UA"/>
              </w:rPr>
              <w:t>8</w:t>
            </w:r>
          </w:p>
        </w:tc>
        <w:tc>
          <w:tcPr>
            <w:tcW w:w="1677" w:type="dxa"/>
          </w:tcPr>
          <w:p w:rsidR="003D085C" w:rsidRPr="008C2221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8C2221">
              <w:rPr>
                <w:rFonts w:ascii="Times New Roman" w:hAnsi="Times New Roman" w:cs="Times New Roman"/>
                <w:i/>
                <w:lang w:val="uk-UA"/>
              </w:rPr>
              <w:t>9</w:t>
            </w:r>
          </w:p>
        </w:tc>
      </w:tr>
      <w:tr w:rsidR="003D085C" w:rsidTr="00E9622E">
        <w:tc>
          <w:tcPr>
            <w:tcW w:w="66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2636" w:type="dxa"/>
          </w:tcPr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Державного бюджету</w:t>
            </w:r>
          </w:p>
        </w:tc>
        <w:tc>
          <w:tcPr>
            <w:tcW w:w="1666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99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98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45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693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677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D085C" w:rsidTr="00E9622E">
        <w:tc>
          <w:tcPr>
            <w:tcW w:w="66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2636" w:type="dxa"/>
          </w:tcPr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Обласного бюджету</w:t>
            </w:r>
          </w:p>
        </w:tc>
        <w:tc>
          <w:tcPr>
            <w:tcW w:w="1666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Бухгалтерські дані ф.№ 2</w:t>
            </w:r>
          </w:p>
        </w:tc>
        <w:tc>
          <w:tcPr>
            <w:tcW w:w="2699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12660,0</w:t>
            </w:r>
          </w:p>
        </w:tc>
        <w:tc>
          <w:tcPr>
            <w:tcW w:w="142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12109,7</w:t>
            </w:r>
          </w:p>
        </w:tc>
        <w:tc>
          <w:tcPr>
            <w:tcW w:w="1398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12109,7</w:t>
            </w:r>
          </w:p>
        </w:tc>
        <w:tc>
          <w:tcPr>
            <w:tcW w:w="1445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12109,7</w:t>
            </w:r>
          </w:p>
        </w:tc>
        <w:tc>
          <w:tcPr>
            <w:tcW w:w="1693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677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95,7</w:t>
            </w:r>
          </w:p>
        </w:tc>
      </w:tr>
      <w:tr w:rsidR="003D085C" w:rsidTr="00E9622E">
        <w:tc>
          <w:tcPr>
            <w:tcW w:w="66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2636" w:type="dxa"/>
          </w:tcPr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Інших місцевих бюджетів</w:t>
            </w:r>
          </w:p>
        </w:tc>
        <w:tc>
          <w:tcPr>
            <w:tcW w:w="1666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9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98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45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693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677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D085C" w:rsidTr="00E9622E">
        <w:tc>
          <w:tcPr>
            <w:tcW w:w="66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2636" w:type="dxa"/>
          </w:tcPr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 бюджетних джерел</w:t>
            </w:r>
          </w:p>
        </w:tc>
        <w:tc>
          <w:tcPr>
            <w:tcW w:w="1666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9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8095,0</w:t>
            </w:r>
          </w:p>
        </w:tc>
        <w:tc>
          <w:tcPr>
            <w:tcW w:w="142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</w:t>
            </w:r>
          </w:p>
        </w:tc>
        <w:tc>
          <w:tcPr>
            <w:tcW w:w="1398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6801,0</w:t>
            </w:r>
          </w:p>
        </w:tc>
        <w:tc>
          <w:tcPr>
            <w:tcW w:w="1445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6801,0</w:t>
            </w:r>
          </w:p>
        </w:tc>
        <w:tc>
          <w:tcPr>
            <w:tcW w:w="1693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</w:t>
            </w:r>
          </w:p>
        </w:tc>
        <w:tc>
          <w:tcPr>
            <w:tcW w:w="1677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84,0</w:t>
            </w:r>
          </w:p>
        </w:tc>
      </w:tr>
      <w:tr w:rsidR="003D085C" w:rsidTr="00E9622E">
        <w:tc>
          <w:tcPr>
            <w:tcW w:w="66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2636" w:type="dxa"/>
          </w:tcPr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666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</w:t>
            </w:r>
          </w:p>
        </w:tc>
        <w:tc>
          <w:tcPr>
            <w:tcW w:w="2699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20755,0</w:t>
            </w:r>
          </w:p>
        </w:tc>
        <w:tc>
          <w:tcPr>
            <w:tcW w:w="142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12109,7</w:t>
            </w:r>
          </w:p>
        </w:tc>
        <w:tc>
          <w:tcPr>
            <w:tcW w:w="1398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18910,7</w:t>
            </w:r>
          </w:p>
        </w:tc>
        <w:tc>
          <w:tcPr>
            <w:tcW w:w="1445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18910,7</w:t>
            </w:r>
          </w:p>
        </w:tc>
        <w:tc>
          <w:tcPr>
            <w:tcW w:w="1693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1677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91,1</w:t>
            </w:r>
          </w:p>
        </w:tc>
      </w:tr>
      <w:tr w:rsidR="003D085C" w:rsidTr="00E9622E">
        <w:tc>
          <w:tcPr>
            <w:tcW w:w="3297" w:type="dxa"/>
            <w:gridSpan w:val="2"/>
          </w:tcPr>
          <w:p w:rsidR="003D085C" w:rsidRDefault="003D085C" w:rsidP="00E9622E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Пояснення щодо розбіжностей між виконаними показниками і тими, що затверджені програмою та бюджетами</w:t>
            </w:r>
          </w:p>
        </w:tc>
        <w:tc>
          <w:tcPr>
            <w:tcW w:w="1666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9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98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45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693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677" w:type="dxa"/>
          </w:tcPr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9622E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</w:tbl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КП «Дирекція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ОМСВТГ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                                                                                                  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Федорук</w:t>
      </w:r>
      <w:proofErr w:type="spellEnd"/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бухгалтер                                                                                                                                Н.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Фатенко</w:t>
      </w:r>
      <w:proofErr w:type="spellEnd"/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6.2. П</w:t>
      </w:r>
      <w:r w:rsidRPr="00833DC8">
        <w:rPr>
          <w:rFonts w:ascii="Times New Roman" w:hAnsi="Times New Roman" w:cs="Times New Roman"/>
          <w:sz w:val="28"/>
          <w:szCs w:val="28"/>
          <w:lang w:val="uk-UA"/>
        </w:rPr>
        <w:t>оказник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33DC8">
        <w:rPr>
          <w:rFonts w:ascii="Times New Roman" w:hAnsi="Times New Roman" w:cs="Times New Roman"/>
          <w:sz w:val="28"/>
          <w:szCs w:val="28"/>
          <w:lang w:val="uk-UA"/>
        </w:rPr>
        <w:t xml:space="preserve"> продукту та пояснення щодо їх виконання по</w:t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Регіональній п</w:t>
      </w:r>
      <w:r w:rsidRPr="00833DC8">
        <w:rPr>
          <w:rFonts w:ascii="Times New Roman" w:hAnsi="Times New Roman" w:cs="Times New Roman"/>
          <w:sz w:val="28"/>
          <w:szCs w:val="28"/>
          <w:lang w:val="uk-UA"/>
        </w:rPr>
        <w:t xml:space="preserve">рограмі підтримки та розвитку </w:t>
      </w:r>
    </w:p>
    <w:p w:rsidR="003D085C" w:rsidRPr="00447A28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«Дирекція з обслуговування майна спільної власності</w:t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громад» за 2013 – 2015 роки.</w:t>
      </w:r>
    </w:p>
    <w:p w:rsidR="003D085C" w:rsidRPr="00F570C3" w:rsidRDefault="003D085C" w:rsidP="003D085C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15134" w:type="dxa"/>
        <w:tblLook w:val="04A0"/>
      </w:tblPr>
      <w:tblGrid>
        <w:gridCol w:w="654"/>
        <w:gridCol w:w="4315"/>
        <w:gridCol w:w="1515"/>
        <w:gridCol w:w="2769"/>
        <w:gridCol w:w="2094"/>
        <w:gridCol w:w="1544"/>
        <w:gridCol w:w="2243"/>
      </w:tblGrid>
      <w:tr w:rsidR="003D085C" w:rsidTr="0068369D">
        <w:tc>
          <w:tcPr>
            <w:tcW w:w="65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4315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Показники</w:t>
            </w:r>
          </w:p>
        </w:tc>
        <w:tc>
          <w:tcPr>
            <w:tcW w:w="1515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Одиниця виміру</w:t>
            </w:r>
          </w:p>
        </w:tc>
        <w:tc>
          <w:tcPr>
            <w:tcW w:w="2769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Джерело 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інформації</w:t>
            </w:r>
          </w:p>
        </w:tc>
        <w:tc>
          <w:tcPr>
            <w:tcW w:w="209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Затверджено програмою</w:t>
            </w:r>
          </w:p>
        </w:tc>
        <w:tc>
          <w:tcPr>
            <w:tcW w:w="154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Виконано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Рівень виконання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до затвердженого 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програмою 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(%)</w:t>
            </w:r>
          </w:p>
        </w:tc>
      </w:tr>
      <w:tr w:rsidR="003D085C" w:rsidRPr="00CF04FD" w:rsidTr="0068369D">
        <w:tc>
          <w:tcPr>
            <w:tcW w:w="654" w:type="dxa"/>
          </w:tcPr>
          <w:p w:rsidR="003D085C" w:rsidRPr="00CF04FD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1</w:t>
            </w:r>
          </w:p>
        </w:tc>
        <w:tc>
          <w:tcPr>
            <w:tcW w:w="4315" w:type="dxa"/>
          </w:tcPr>
          <w:p w:rsidR="003D085C" w:rsidRPr="00CF04FD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2</w:t>
            </w:r>
          </w:p>
        </w:tc>
        <w:tc>
          <w:tcPr>
            <w:tcW w:w="1515" w:type="dxa"/>
          </w:tcPr>
          <w:p w:rsidR="003D085C" w:rsidRPr="00CF04FD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3</w:t>
            </w:r>
          </w:p>
        </w:tc>
        <w:tc>
          <w:tcPr>
            <w:tcW w:w="2769" w:type="dxa"/>
          </w:tcPr>
          <w:p w:rsidR="003D085C" w:rsidRPr="00CF04FD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4</w:t>
            </w:r>
          </w:p>
        </w:tc>
        <w:tc>
          <w:tcPr>
            <w:tcW w:w="2094" w:type="dxa"/>
          </w:tcPr>
          <w:p w:rsidR="003D085C" w:rsidRPr="00CF04FD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5</w:t>
            </w:r>
          </w:p>
        </w:tc>
        <w:tc>
          <w:tcPr>
            <w:tcW w:w="1544" w:type="dxa"/>
          </w:tcPr>
          <w:p w:rsidR="003D085C" w:rsidRPr="00CF04FD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6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Pr="00CF04FD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7</w:t>
            </w:r>
          </w:p>
        </w:tc>
      </w:tr>
      <w:tr w:rsidR="003D085C" w:rsidRPr="00447A28" w:rsidTr="0068369D">
        <w:tc>
          <w:tcPr>
            <w:tcW w:w="15134" w:type="dxa"/>
            <w:gridSpan w:val="7"/>
            <w:tcBorders>
              <w:left w:val="nil"/>
              <w:right w:val="nil"/>
            </w:tcBorders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D085C" w:rsidRPr="00FA6F9F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6F9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І. Показники продукту програми</w:t>
            </w: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D085C" w:rsidRPr="00447A28" w:rsidTr="0068369D">
        <w:tc>
          <w:tcPr>
            <w:tcW w:w="65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4315" w:type="dxa"/>
          </w:tcPr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якості експлуатації, утримання та відновлення пам’ятки архітектури «Палац юстиції», створення відповідних умов праці для всіх підрозділів, що здійснюють свою діяльність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адмінбудівлі</w:t>
            </w:r>
            <w:proofErr w:type="spellEnd"/>
          </w:p>
        </w:tc>
        <w:tc>
          <w:tcPr>
            <w:tcW w:w="1515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заходів</w:t>
            </w:r>
          </w:p>
        </w:tc>
        <w:tc>
          <w:tcPr>
            <w:tcW w:w="2769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154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</w:tr>
      <w:tr w:rsidR="003D085C" w:rsidRPr="0018061A" w:rsidTr="0068369D">
        <w:tc>
          <w:tcPr>
            <w:tcW w:w="65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2.</w:t>
            </w:r>
          </w:p>
        </w:tc>
        <w:tc>
          <w:tcPr>
            <w:tcW w:w="4315" w:type="dxa"/>
          </w:tcPr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якісних автотранспортних послуг по обслуговуванню загальнодержавних та регіональних, виставково- ярмаркових акцій, делегацій інших країн, перевезення делегацій в м. Київ та інші обласні центри з нагоди святкування державних свят </w:t>
            </w:r>
          </w:p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5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заходів</w:t>
            </w:r>
          </w:p>
        </w:tc>
        <w:tc>
          <w:tcPr>
            <w:tcW w:w="2769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154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95,8</w:t>
            </w:r>
          </w:p>
        </w:tc>
      </w:tr>
      <w:tr w:rsidR="003D085C" w:rsidTr="0068369D">
        <w:tc>
          <w:tcPr>
            <w:tcW w:w="65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4315" w:type="dxa"/>
          </w:tcPr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Належне утримання та раціональне використання транспортних засобів</w:t>
            </w:r>
          </w:p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15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транспортних засобів</w:t>
            </w:r>
          </w:p>
        </w:tc>
        <w:tc>
          <w:tcPr>
            <w:tcW w:w="2769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154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3D085C" w:rsidRPr="005420EC" w:rsidTr="0068369D">
        <w:tc>
          <w:tcPr>
            <w:tcW w:w="654" w:type="dxa"/>
          </w:tcPr>
          <w:p w:rsidR="003D085C" w:rsidRPr="005420E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5420EC">
              <w:rPr>
                <w:rFonts w:ascii="Times New Roman" w:hAnsi="Times New Roman" w:cs="Times New Roman"/>
                <w:i/>
                <w:lang w:val="uk-UA"/>
              </w:rPr>
              <w:lastRenderedPageBreak/>
              <w:t>1</w:t>
            </w:r>
          </w:p>
        </w:tc>
        <w:tc>
          <w:tcPr>
            <w:tcW w:w="4315" w:type="dxa"/>
          </w:tcPr>
          <w:p w:rsidR="003D085C" w:rsidRPr="005420E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420E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515" w:type="dxa"/>
          </w:tcPr>
          <w:p w:rsidR="003D085C" w:rsidRPr="005420E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5420EC">
              <w:rPr>
                <w:rFonts w:ascii="Times New Roman" w:hAnsi="Times New Roman" w:cs="Times New Roman"/>
                <w:i/>
                <w:lang w:val="uk-UA"/>
              </w:rPr>
              <w:t>3</w:t>
            </w:r>
          </w:p>
        </w:tc>
        <w:tc>
          <w:tcPr>
            <w:tcW w:w="2769" w:type="dxa"/>
          </w:tcPr>
          <w:p w:rsidR="003D085C" w:rsidRPr="005420E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5420EC">
              <w:rPr>
                <w:rFonts w:ascii="Times New Roman" w:hAnsi="Times New Roman" w:cs="Times New Roman"/>
                <w:i/>
                <w:lang w:val="uk-UA"/>
              </w:rPr>
              <w:t>4</w:t>
            </w:r>
          </w:p>
        </w:tc>
        <w:tc>
          <w:tcPr>
            <w:tcW w:w="2094" w:type="dxa"/>
          </w:tcPr>
          <w:p w:rsidR="003D085C" w:rsidRPr="005420E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5420EC">
              <w:rPr>
                <w:rFonts w:ascii="Times New Roman" w:hAnsi="Times New Roman" w:cs="Times New Roman"/>
                <w:i/>
                <w:lang w:val="uk-UA"/>
              </w:rPr>
              <w:t>5</w:t>
            </w:r>
          </w:p>
        </w:tc>
        <w:tc>
          <w:tcPr>
            <w:tcW w:w="1544" w:type="dxa"/>
          </w:tcPr>
          <w:p w:rsidR="003D085C" w:rsidRPr="005420E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5420EC">
              <w:rPr>
                <w:rFonts w:ascii="Times New Roman" w:hAnsi="Times New Roman" w:cs="Times New Roman"/>
                <w:i/>
                <w:lang w:val="uk-UA"/>
              </w:rPr>
              <w:t>6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Pr="005420E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5420EC">
              <w:rPr>
                <w:rFonts w:ascii="Times New Roman" w:hAnsi="Times New Roman" w:cs="Times New Roman"/>
                <w:i/>
                <w:lang w:val="uk-UA"/>
              </w:rPr>
              <w:t>7</w:t>
            </w:r>
          </w:p>
        </w:tc>
      </w:tr>
      <w:tr w:rsidR="003D085C" w:rsidRPr="00185148" w:rsidTr="0068369D">
        <w:tc>
          <w:tcPr>
            <w:tcW w:w="65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4315" w:type="dxa"/>
          </w:tcPr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високотехнологічним обладнанням авто майстерні комунального підприємства для проведення технічного обслуговування, діагностики та ремонту транспортних засобів</w:t>
            </w:r>
          </w:p>
          <w:p w:rsidR="003D085C" w:rsidRDefault="003D085C" w:rsidP="006836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5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одиниць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обладнання</w:t>
            </w:r>
          </w:p>
        </w:tc>
        <w:tc>
          <w:tcPr>
            <w:tcW w:w="2769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Pr="00E86CAA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544" w:type="dxa"/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68369D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62,5</w:t>
            </w:r>
          </w:p>
        </w:tc>
      </w:tr>
    </w:tbl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Pr="00E51248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 КП «Дирекція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ОМСВТГ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12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Федору</w:t>
      </w:r>
      <w:r w:rsidRPr="00E51248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</w:p>
    <w:p w:rsidR="003D085C" w:rsidRPr="00E51248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085C" w:rsidRPr="00E51248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51248">
        <w:rPr>
          <w:rFonts w:ascii="Times New Roman" w:hAnsi="Times New Roman" w:cs="Times New Roman"/>
          <w:sz w:val="28"/>
          <w:szCs w:val="28"/>
          <w:lang w:val="uk-UA"/>
        </w:rPr>
        <w:t xml:space="preserve">Головний бухгалтер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E512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Н.Фатенко</w:t>
      </w:r>
    </w:p>
    <w:p w:rsidR="003D085C" w:rsidRDefault="003D085C">
      <w:pPr>
        <w:rPr>
          <w:rFonts w:eastAsia="Calibri"/>
          <w:lang w:val="uk-UA"/>
        </w:rPr>
      </w:pPr>
      <w:r>
        <w:rPr>
          <w:lang w:val="uk-UA"/>
        </w:rPr>
        <w:br w:type="page"/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6.3. Аналіз виконання показників ефективності та пояснення щодо їх виконання по</w:t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Регіональній п</w:t>
      </w:r>
      <w:r w:rsidRPr="00833DC8">
        <w:rPr>
          <w:rFonts w:ascii="Times New Roman" w:hAnsi="Times New Roman" w:cs="Times New Roman"/>
          <w:sz w:val="28"/>
          <w:szCs w:val="28"/>
          <w:lang w:val="uk-UA"/>
        </w:rPr>
        <w:t xml:space="preserve">рограмі підтримки та розвитку </w:t>
      </w:r>
    </w:p>
    <w:p w:rsidR="003D085C" w:rsidRPr="00447A28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«Дирекція з обслуговування майна спільної власності</w:t>
      </w:r>
    </w:p>
    <w:p w:rsidR="003D085C" w:rsidRPr="008F70E4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громад» за 2013 – 2015 роки..</w:t>
      </w:r>
    </w:p>
    <w:p w:rsidR="003D085C" w:rsidRPr="008F70E4" w:rsidRDefault="003D085C" w:rsidP="003D085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5134" w:type="dxa"/>
        <w:tblLook w:val="04A0"/>
      </w:tblPr>
      <w:tblGrid>
        <w:gridCol w:w="654"/>
        <w:gridCol w:w="4315"/>
        <w:gridCol w:w="1515"/>
        <w:gridCol w:w="2769"/>
        <w:gridCol w:w="2094"/>
        <w:gridCol w:w="1544"/>
        <w:gridCol w:w="2243"/>
      </w:tblGrid>
      <w:tr w:rsidR="003D085C" w:rsidTr="00EE1DFF">
        <w:tc>
          <w:tcPr>
            <w:tcW w:w="65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4315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Показники</w:t>
            </w:r>
          </w:p>
        </w:tc>
        <w:tc>
          <w:tcPr>
            <w:tcW w:w="1515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Одиниця виміру</w:t>
            </w:r>
          </w:p>
        </w:tc>
        <w:tc>
          <w:tcPr>
            <w:tcW w:w="2769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Джерело </w:t>
            </w: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інформації</w:t>
            </w:r>
          </w:p>
        </w:tc>
        <w:tc>
          <w:tcPr>
            <w:tcW w:w="209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Затверджено програмою</w:t>
            </w:r>
          </w:p>
        </w:tc>
        <w:tc>
          <w:tcPr>
            <w:tcW w:w="154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Виконано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Рівень виконання</w:t>
            </w: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до затвердженого </w:t>
            </w: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програмою </w:t>
            </w: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(%)</w:t>
            </w:r>
          </w:p>
        </w:tc>
      </w:tr>
      <w:tr w:rsidR="003D085C" w:rsidRPr="00CF04FD" w:rsidTr="00EE1DFF">
        <w:tc>
          <w:tcPr>
            <w:tcW w:w="654" w:type="dxa"/>
          </w:tcPr>
          <w:p w:rsidR="003D085C" w:rsidRPr="00CF04FD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1</w:t>
            </w:r>
          </w:p>
        </w:tc>
        <w:tc>
          <w:tcPr>
            <w:tcW w:w="4315" w:type="dxa"/>
          </w:tcPr>
          <w:p w:rsidR="003D085C" w:rsidRPr="00CF04FD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2</w:t>
            </w:r>
          </w:p>
        </w:tc>
        <w:tc>
          <w:tcPr>
            <w:tcW w:w="1515" w:type="dxa"/>
          </w:tcPr>
          <w:p w:rsidR="003D085C" w:rsidRPr="00CF04FD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3</w:t>
            </w:r>
          </w:p>
        </w:tc>
        <w:tc>
          <w:tcPr>
            <w:tcW w:w="2769" w:type="dxa"/>
          </w:tcPr>
          <w:p w:rsidR="003D085C" w:rsidRPr="00CF04FD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4</w:t>
            </w:r>
          </w:p>
        </w:tc>
        <w:tc>
          <w:tcPr>
            <w:tcW w:w="2094" w:type="dxa"/>
          </w:tcPr>
          <w:p w:rsidR="003D085C" w:rsidRPr="00CF04FD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5</w:t>
            </w:r>
          </w:p>
        </w:tc>
        <w:tc>
          <w:tcPr>
            <w:tcW w:w="1544" w:type="dxa"/>
          </w:tcPr>
          <w:p w:rsidR="003D085C" w:rsidRPr="00CF04FD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6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Pr="00CF04FD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7</w:t>
            </w:r>
          </w:p>
        </w:tc>
      </w:tr>
      <w:tr w:rsidR="003D085C" w:rsidRPr="00185148" w:rsidTr="00EE1DFF">
        <w:tc>
          <w:tcPr>
            <w:tcW w:w="65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4315" w:type="dxa"/>
          </w:tcPr>
          <w:p w:rsidR="003D085C" w:rsidRDefault="003D085C" w:rsidP="00EE1DF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EE1DF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обслуговування делегації</w:t>
            </w:r>
          </w:p>
        </w:tc>
        <w:tc>
          <w:tcPr>
            <w:tcW w:w="1515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тис. грн </w:t>
            </w: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 одну делегацію</w:t>
            </w:r>
          </w:p>
        </w:tc>
        <w:tc>
          <w:tcPr>
            <w:tcW w:w="2769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1,4</w:t>
            </w:r>
          </w:p>
        </w:tc>
        <w:tc>
          <w:tcPr>
            <w:tcW w:w="154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21,4</w:t>
            </w:r>
          </w:p>
        </w:tc>
      </w:tr>
      <w:tr w:rsidR="003D085C" w:rsidRPr="00185148" w:rsidTr="00EE1DFF">
        <w:tc>
          <w:tcPr>
            <w:tcW w:w="65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4315" w:type="dxa"/>
          </w:tcPr>
          <w:p w:rsidR="003D085C" w:rsidRDefault="003D085C" w:rsidP="00EE1DF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EE1DF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утримання одного автомобіля</w:t>
            </w:r>
          </w:p>
        </w:tc>
        <w:tc>
          <w:tcPr>
            <w:tcW w:w="1515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тис. грн</w:t>
            </w:r>
          </w:p>
        </w:tc>
        <w:tc>
          <w:tcPr>
            <w:tcW w:w="2769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</w:t>
            </w:r>
          </w:p>
        </w:tc>
        <w:tc>
          <w:tcPr>
            <w:tcW w:w="154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66,5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4,7 р.</w:t>
            </w:r>
          </w:p>
        </w:tc>
      </w:tr>
      <w:tr w:rsidR="003D085C" w:rsidRPr="00185148" w:rsidTr="00EE1DFF">
        <w:tc>
          <w:tcPr>
            <w:tcW w:w="65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4315" w:type="dxa"/>
          </w:tcPr>
          <w:p w:rsidR="003D085C" w:rsidRDefault="003D085C" w:rsidP="00EE1DF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EE1DF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якісного і ефективного проведення діагностики, сервісного обслуговування та ремонту транспортних засобів</w:t>
            </w:r>
          </w:p>
        </w:tc>
        <w:tc>
          <w:tcPr>
            <w:tcW w:w="1515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тис. грн</w:t>
            </w:r>
          </w:p>
        </w:tc>
        <w:tc>
          <w:tcPr>
            <w:tcW w:w="2769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2495,0</w:t>
            </w:r>
          </w:p>
        </w:tc>
        <w:tc>
          <w:tcPr>
            <w:tcW w:w="1544" w:type="dxa"/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2194,4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EE1DFF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88,0</w:t>
            </w:r>
          </w:p>
        </w:tc>
      </w:tr>
    </w:tbl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Pr="00E51248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 КП «Дирекція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ОМСВТГ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12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Федору</w:t>
      </w:r>
      <w:r w:rsidRPr="00E51248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</w:p>
    <w:p w:rsidR="003D085C" w:rsidRPr="00E51248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51248">
        <w:rPr>
          <w:rFonts w:ascii="Times New Roman" w:hAnsi="Times New Roman" w:cs="Times New Roman"/>
          <w:sz w:val="28"/>
          <w:szCs w:val="28"/>
          <w:lang w:val="uk-UA"/>
        </w:rPr>
        <w:t>Головний бухгалтер                                                                                                                                      Н.</w:t>
      </w:r>
      <w:proofErr w:type="spellStart"/>
      <w:r w:rsidRPr="00E51248">
        <w:rPr>
          <w:rFonts w:ascii="Times New Roman" w:hAnsi="Times New Roman" w:cs="Times New Roman"/>
          <w:sz w:val="28"/>
          <w:szCs w:val="28"/>
          <w:lang w:val="uk-UA"/>
        </w:rPr>
        <w:t>Фатенко</w:t>
      </w:r>
      <w:proofErr w:type="spellEnd"/>
    </w:p>
    <w:p w:rsidR="003D085C" w:rsidRDefault="003D085C">
      <w:pPr>
        <w:rPr>
          <w:rFonts w:eastAsia="Calibri"/>
          <w:lang w:val="uk-UA"/>
        </w:rPr>
      </w:pPr>
      <w:r>
        <w:rPr>
          <w:lang w:val="uk-UA"/>
        </w:rPr>
        <w:br w:type="page"/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6.4. Аналіз виконання показників якості</w:t>
      </w:r>
      <w:r w:rsidRPr="00833DC8">
        <w:rPr>
          <w:rFonts w:ascii="Times New Roman" w:hAnsi="Times New Roman" w:cs="Times New Roman"/>
          <w:sz w:val="28"/>
          <w:szCs w:val="28"/>
          <w:lang w:val="uk-UA"/>
        </w:rPr>
        <w:t xml:space="preserve"> та пояснення щодо їх виконання по</w:t>
      </w:r>
    </w:p>
    <w:p w:rsidR="003D085C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Регіональній п</w:t>
      </w:r>
      <w:r w:rsidRPr="00833DC8">
        <w:rPr>
          <w:rFonts w:ascii="Times New Roman" w:hAnsi="Times New Roman" w:cs="Times New Roman"/>
          <w:sz w:val="28"/>
          <w:szCs w:val="28"/>
          <w:lang w:val="uk-UA"/>
        </w:rPr>
        <w:t xml:space="preserve">рограмі підтримки та розвитку </w:t>
      </w:r>
    </w:p>
    <w:p w:rsidR="003D085C" w:rsidRPr="00447A28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«Дирекція з обслуговування майна спільної власності</w:t>
      </w:r>
    </w:p>
    <w:p w:rsidR="003D085C" w:rsidRPr="006175D3" w:rsidRDefault="003D085C" w:rsidP="003D08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громад» за 2013 – 2015 роки. рік.</w:t>
      </w:r>
    </w:p>
    <w:p w:rsidR="003D085C" w:rsidRPr="006175D3" w:rsidRDefault="003D085C" w:rsidP="003D085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5134" w:type="dxa"/>
        <w:tblLook w:val="04A0"/>
      </w:tblPr>
      <w:tblGrid>
        <w:gridCol w:w="654"/>
        <w:gridCol w:w="4315"/>
        <w:gridCol w:w="1515"/>
        <w:gridCol w:w="2769"/>
        <w:gridCol w:w="2094"/>
        <w:gridCol w:w="1544"/>
        <w:gridCol w:w="2243"/>
      </w:tblGrid>
      <w:tr w:rsidR="003D085C" w:rsidTr="001550A9">
        <w:tc>
          <w:tcPr>
            <w:tcW w:w="65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4315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Показники</w:t>
            </w:r>
          </w:p>
        </w:tc>
        <w:tc>
          <w:tcPr>
            <w:tcW w:w="1515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Одиниця виміру</w:t>
            </w:r>
          </w:p>
        </w:tc>
        <w:tc>
          <w:tcPr>
            <w:tcW w:w="2769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Джерело </w:t>
            </w: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інформації</w:t>
            </w:r>
          </w:p>
        </w:tc>
        <w:tc>
          <w:tcPr>
            <w:tcW w:w="209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Затверджено програмою</w:t>
            </w:r>
          </w:p>
        </w:tc>
        <w:tc>
          <w:tcPr>
            <w:tcW w:w="154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Виконано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Рівень виконання</w:t>
            </w: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до затвердженого </w:t>
            </w: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програмою </w:t>
            </w: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(%)</w:t>
            </w:r>
          </w:p>
        </w:tc>
      </w:tr>
      <w:tr w:rsidR="003D085C" w:rsidRPr="00CF04FD" w:rsidTr="001550A9">
        <w:tc>
          <w:tcPr>
            <w:tcW w:w="654" w:type="dxa"/>
          </w:tcPr>
          <w:p w:rsidR="003D085C" w:rsidRPr="00CF04FD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1</w:t>
            </w:r>
          </w:p>
        </w:tc>
        <w:tc>
          <w:tcPr>
            <w:tcW w:w="4315" w:type="dxa"/>
          </w:tcPr>
          <w:p w:rsidR="003D085C" w:rsidRPr="00CF04FD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2</w:t>
            </w:r>
          </w:p>
        </w:tc>
        <w:tc>
          <w:tcPr>
            <w:tcW w:w="1515" w:type="dxa"/>
          </w:tcPr>
          <w:p w:rsidR="003D085C" w:rsidRPr="00CF04FD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3</w:t>
            </w:r>
          </w:p>
        </w:tc>
        <w:tc>
          <w:tcPr>
            <w:tcW w:w="2769" w:type="dxa"/>
          </w:tcPr>
          <w:p w:rsidR="003D085C" w:rsidRPr="00CF04FD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4</w:t>
            </w:r>
          </w:p>
        </w:tc>
        <w:tc>
          <w:tcPr>
            <w:tcW w:w="2094" w:type="dxa"/>
          </w:tcPr>
          <w:p w:rsidR="003D085C" w:rsidRPr="00CF04FD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5</w:t>
            </w:r>
          </w:p>
        </w:tc>
        <w:tc>
          <w:tcPr>
            <w:tcW w:w="1544" w:type="dxa"/>
          </w:tcPr>
          <w:p w:rsidR="003D085C" w:rsidRPr="00CF04FD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6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Pr="00CF04FD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F04FD">
              <w:rPr>
                <w:rFonts w:ascii="Times New Roman" w:hAnsi="Times New Roman" w:cs="Times New Roman"/>
                <w:i/>
                <w:lang w:val="uk-UA"/>
              </w:rPr>
              <w:t>7</w:t>
            </w:r>
          </w:p>
        </w:tc>
      </w:tr>
      <w:tr w:rsidR="003D085C" w:rsidRPr="00185148" w:rsidTr="001550A9">
        <w:tc>
          <w:tcPr>
            <w:tcW w:w="65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4315" w:type="dxa"/>
          </w:tcPr>
          <w:p w:rsidR="003D085C" w:rsidRDefault="003D085C" w:rsidP="001550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1550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Покращення системи тепло забезпечення пам’ятки архітектури «Палац юстиції»</w:t>
            </w:r>
          </w:p>
        </w:tc>
        <w:tc>
          <w:tcPr>
            <w:tcW w:w="1515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769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90,0%</w:t>
            </w:r>
          </w:p>
        </w:tc>
        <w:tc>
          <w:tcPr>
            <w:tcW w:w="154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95,6%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5,6%</w:t>
            </w:r>
          </w:p>
        </w:tc>
      </w:tr>
      <w:tr w:rsidR="003D085C" w:rsidRPr="00E3388C" w:rsidTr="001550A9">
        <w:tc>
          <w:tcPr>
            <w:tcW w:w="65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4315" w:type="dxa"/>
          </w:tcPr>
          <w:p w:rsidR="003D085C" w:rsidRDefault="003D085C" w:rsidP="001550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1550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якісних автотранспортних послуг з обслуговування загальнодержавних виставково-ярмаркових акцій, делегацій інших держав, перевезення делегацій від області в м. Київ та інші обласні центри з нагоди святкування державних свят</w:t>
            </w:r>
          </w:p>
        </w:tc>
        <w:tc>
          <w:tcPr>
            <w:tcW w:w="1515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залучених транспортних засобів</w:t>
            </w:r>
          </w:p>
        </w:tc>
        <w:tc>
          <w:tcPr>
            <w:tcW w:w="2769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154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106,7%</w:t>
            </w:r>
          </w:p>
        </w:tc>
      </w:tr>
      <w:tr w:rsidR="003D085C" w:rsidRPr="00E3388C" w:rsidTr="001550A9">
        <w:tc>
          <w:tcPr>
            <w:tcW w:w="65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3.</w:t>
            </w:r>
          </w:p>
        </w:tc>
        <w:tc>
          <w:tcPr>
            <w:tcW w:w="4315" w:type="dxa"/>
          </w:tcPr>
          <w:p w:rsidR="003D085C" w:rsidRDefault="003D085C" w:rsidP="001550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085C" w:rsidRDefault="003D085C" w:rsidP="001550A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безпеки транспортного перевезення учасників делегацій, учасників виставково-ярмаркових акцій</w:t>
            </w:r>
          </w:p>
        </w:tc>
        <w:tc>
          <w:tcPr>
            <w:tcW w:w="1515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учасників делегації</w:t>
            </w:r>
          </w:p>
        </w:tc>
        <w:tc>
          <w:tcPr>
            <w:tcW w:w="2769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Аналітичний облік</w:t>
            </w: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9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460</w:t>
            </w:r>
          </w:p>
        </w:tc>
        <w:tc>
          <w:tcPr>
            <w:tcW w:w="1544" w:type="dxa"/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578</w:t>
            </w:r>
          </w:p>
        </w:tc>
        <w:tc>
          <w:tcPr>
            <w:tcW w:w="2243" w:type="dxa"/>
            <w:tcBorders>
              <w:right w:val="single" w:sz="4" w:space="0" w:color="auto"/>
            </w:tcBorders>
          </w:tcPr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D085C" w:rsidRDefault="003D085C" w:rsidP="001550A9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125,6%</w:t>
            </w:r>
          </w:p>
        </w:tc>
      </w:tr>
    </w:tbl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Default="003D085C" w:rsidP="003D085C">
      <w:pPr>
        <w:pStyle w:val="a3"/>
        <w:rPr>
          <w:rFonts w:ascii="Times New Roman" w:hAnsi="Times New Roman" w:cs="Times New Roman"/>
          <w:lang w:val="uk-UA"/>
        </w:rPr>
      </w:pPr>
    </w:p>
    <w:p w:rsidR="003D085C" w:rsidRPr="00E51248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 КП «Дирекція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ОМСВТГ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12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А.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Федору</w:t>
      </w:r>
      <w:r w:rsidRPr="00E51248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</w:p>
    <w:p w:rsidR="003D085C" w:rsidRPr="00E51248" w:rsidRDefault="003D085C" w:rsidP="003D085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4226D" w:rsidRPr="00CA2A98" w:rsidRDefault="003D085C" w:rsidP="00CC06D5">
      <w:pPr>
        <w:pStyle w:val="a3"/>
        <w:rPr>
          <w:rFonts w:ascii="Times New Roman" w:hAnsi="Times New Roman" w:cs="Times New Roman"/>
          <w:lang w:val="uk-UA"/>
        </w:rPr>
      </w:pPr>
      <w:r w:rsidRPr="00E51248">
        <w:rPr>
          <w:rFonts w:ascii="Times New Roman" w:hAnsi="Times New Roman" w:cs="Times New Roman"/>
          <w:sz w:val="28"/>
          <w:szCs w:val="28"/>
          <w:lang w:val="uk-UA"/>
        </w:rPr>
        <w:t>Головний бухгалтер                                                                                                                                      Н.</w:t>
      </w:r>
      <w:proofErr w:type="spellStart"/>
      <w:r w:rsidRPr="00E51248">
        <w:rPr>
          <w:rFonts w:ascii="Times New Roman" w:hAnsi="Times New Roman" w:cs="Times New Roman"/>
          <w:sz w:val="28"/>
          <w:szCs w:val="28"/>
          <w:lang w:val="uk-UA"/>
        </w:rPr>
        <w:t>Фатенко</w:t>
      </w:r>
      <w:proofErr w:type="spellEnd"/>
    </w:p>
    <w:sectPr w:rsidR="0014226D" w:rsidRPr="00CA2A98" w:rsidSect="003D085C">
      <w:pgSz w:w="16838" w:h="11906" w:orient="landscape"/>
      <w:pgMar w:top="1418" w:right="1021" w:bottom="851" w:left="1077" w:header="567" w:footer="454" w:gutter="0"/>
      <w:cols w:space="708"/>
      <w:titlePg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A17" w:rsidRDefault="00FC1A17" w:rsidP="002D6397">
      <w:pPr>
        <w:spacing w:line="240" w:lineRule="auto"/>
      </w:pPr>
      <w:r>
        <w:separator/>
      </w:r>
    </w:p>
  </w:endnote>
  <w:endnote w:type="continuationSeparator" w:id="0">
    <w:p w:rsidR="00FC1A17" w:rsidRDefault="00FC1A17" w:rsidP="002D63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A17" w:rsidRDefault="00FC1A17" w:rsidP="002D6397">
      <w:pPr>
        <w:spacing w:line="240" w:lineRule="auto"/>
      </w:pPr>
      <w:r>
        <w:separator/>
      </w:r>
    </w:p>
  </w:footnote>
  <w:footnote w:type="continuationSeparator" w:id="0">
    <w:p w:rsidR="00FC1A17" w:rsidRDefault="00FC1A17" w:rsidP="002D639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7948297"/>
      <w:docPartObj>
        <w:docPartGallery w:val="Page Numbers (Top of Page)"/>
        <w:docPartUnique/>
      </w:docPartObj>
    </w:sdtPr>
    <w:sdtContent>
      <w:p w:rsidR="002D6397" w:rsidRDefault="000F2D97">
        <w:pPr>
          <w:pStyle w:val="a4"/>
          <w:jc w:val="center"/>
        </w:pPr>
        <w:r>
          <w:fldChar w:fldCharType="begin"/>
        </w:r>
        <w:r w:rsidR="002D6397">
          <w:instrText>PAGE   \* MERGEFORMAT</w:instrText>
        </w:r>
        <w:r>
          <w:fldChar w:fldCharType="separate"/>
        </w:r>
        <w:r w:rsidR="003D085C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40"/>
  <w:drawingGridVerticalSpacing w:val="191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164E"/>
    <w:rsid w:val="00020DE9"/>
    <w:rsid w:val="00033972"/>
    <w:rsid w:val="000920C6"/>
    <w:rsid w:val="000B2F33"/>
    <w:rsid w:val="000C2B0F"/>
    <w:rsid w:val="000E0C20"/>
    <w:rsid w:val="000F2D97"/>
    <w:rsid w:val="00103492"/>
    <w:rsid w:val="00121FB2"/>
    <w:rsid w:val="0014226D"/>
    <w:rsid w:val="00142612"/>
    <w:rsid w:val="00183B64"/>
    <w:rsid w:val="001D224F"/>
    <w:rsid w:val="00255040"/>
    <w:rsid w:val="00270514"/>
    <w:rsid w:val="002A017D"/>
    <w:rsid w:val="002B0AA6"/>
    <w:rsid w:val="002D6397"/>
    <w:rsid w:val="002F0C23"/>
    <w:rsid w:val="00313693"/>
    <w:rsid w:val="00317D01"/>
    <w:rsid w:val="003437A1"/>
    <w:rsid w:val="00346B65"/>
    <w:rsid w:val="003B0510"/>
    <w:rsid w:val="003B39F3"/>
    <w:rsid w:val="003D085C"/>
    <w:rsid w:val="00404FDD"/>
    <w:rsid w:val="0045022F"/>
    <w:rsid w:val="00453E07"/>
    <w:rsid w:val="00461CF1"/>
    <w:rsid w:val="005047EA"/>
    <w:rsid w:val="00505A6C"/>
    <w:rsid w:val="0054305C"/>
    <w:rsid w:val="005602B1"/>
    <w:rsid w:val="005A102B"/>
    <w:rsid w:val="005A681C"/>
    <w:rsid w:val="005B44A6"/>
    <w:rsid w:val="005B583C"/>
    <w:rsid w:val="00644AF7"/>
    <w:rsid w:val="00671780"/>
    <w:rsid w:val="0068164E"/>
    <w:rsid w:val="006B2F15"/>
    <w:rsid w:val="006C4247"/>
    <w:rsid w:val="006D1F0C"/>
    <w:rsid w:val="006F344A"/>
    <w:rsid w:val="007316F8"/>
    <w:rsid w:val="00757659"/>
    <w:rsid w:val="00784F54"/>
    <w:rsid w:val="007C4B12"/>
    <w:rsid w:val="007C6D33"/>
    <w:rsid w:val="00844DB1"/>
    <w:rsid w:val="0087358D"/>
    <w:rsid w:val="008C6576"/>
    <w:rsid w:val="00936B6D"/>
    <w:rsid w:val="00975AF6"/>
    <w:rsid w:val="0098012E"/>
    <w:rsid w:val="009B3A14"/>
    <w:rsid w:val="00A12FDF"/>
    <w:rsid w:val="00A4116D"/>
    <w:rsid w:val="00A4247C"/>
    <w:rsid w:val="00A44E15"/>
    <w:rsid w:val="00A70406"/>
    <w:rsid w:val="00AB066A"/>
    <w:rsid w:val="00AB0AB6"/>
    <w:rsid w:val="00AC5230"/>
    <w:rsid w:val="00AE1814"/>
    <w:rsid w:val="00B07F93"/>
    <w:rsid w:val="00B1693D"/>
    <w:rsid w:val="00B5365B"/>
    <w:rsid w:val="00B56A8E"/>
    <w:rsid w:val="00B755A4"/>
    <w:rsid w:val="00BA6DE6"/>
    <w:rsid w:val="00BB7E82"/>
    <w:rsid w:val="00BD0353"/>
    <w:rsid w:val="00BE09F0"/>
    <w:rsid w:val="00BF2155"/>
    <w:rsid w:val="00C21D3B"/>
    <w:rsid w:val="00C60B95"/>
    <w:rsid w:val="00C63ACA"/>
    <w:rsid w:val="00C815BF"/>
    <w:rsid w:val="00CA2A98"/>
    <w:rsid w:val="00CC06D5"/>
    <w:rsid w:val="00CC26E3"/>
    <w:rsid w:val="00CC4670"/>
    <w:rsid w:val="00D024BF"/>
    <w:rsid w:val="00D13B58"/>
    <w:rsid w:val="00D54CDA"/>
    <w:rsid w:val="00D67574"/>
    <w:rsid w:val="00E02840"/>
    <w:rsid w:val="00E43E20"/>
    <w:rsid w:val="00E6061C"/>
    <w:rsid w:val="00E71AFC"/>
    <w:rsid w:val="00EE11B2"/>
    <w:rsid w:val="00EE60BC"/>
    <w:rsid w:val="00FC1A17"/>
    <w:rsid w:val="00FD2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E"/>
    <w:rPr>
      <w:b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64E"/>
    <w:pPr>
      <w:spacing w:line="240" w:lineRule="auto"/>
    </w:pPr>
    <w:rPr>
      <w:rFonts w:ascii="Calibri" w:eastAsia="Calibri" w:hAnsi="Calibri" w:cs="Calibri"/>
      <w:b w:val="0"/>
      <w:sz w:val="22"/>
      <w:szCs w:val="22"/>
      <w:lang w:val="ru-RU"/>
    </w:rPr>
  </w:style>
  <w:style w:type="character" w:customStyle="1" w:styleId="FontStyle15">
    <w:name w:val="Font Style15"/>
    <w:rsid w:val="00255040"/>
    <w:rPr>
      <w:rFonts w:ascii="Times New Roman" w:hAnsi="Times New Roman" w:cs="Times New Roman"/>
      <w:b w:val="0"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2D639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6397"/>
    <w:rPr>
      <w:b w:val="0"/>
      <w:lang w:val="ru-RU"/>
    </w:rPr>
  </w:style>
  <w:style w:type="paragraph" w:styleId="a6">
    <w:name w:val="footer"/>
    <w:basedOn w:val="a"/>
    <w:link w:val="a7"/>
    <w:uiPriority w:val="99"/>
    <w:unhideWhenUsed/>
    <w:rsid w:val="002D639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6397"/>
    <w:rPr>
      <w:b w:val="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C52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5230"/>
    <w:rPr>
      <w:rFonts w:ascii="Tahoma" w:hAnsi="Tahoma" w:cs="Tahoma"/>
      <w:b w:val="0"/>
      <w:sz w:val="16"/>
      <w:szCs w:val="16"/>
      <w:lang w:val="ru-RU"/>
    </w:rPr>
  </w:style>
  <w:style w:type="table" w:styleId="aa">
    <w:name w:val="Table Grid"/>
    <w:basedOn w:val="a1"/>
    <w:uiPriority w:val="59"/>
    <w:rsid w:val="003D085C"/>
    <w:pPr>
      <w:spacing w:line="240" w:lineRule="auto"/>
    </w:pPr>
    <w:rPr>
      <w:rFonts w:asciiTheme="minorHAnsi" w:hAnsiTheme="minorHAnsi" w:cstheme="minorBidi"/>
      <w:b w:val="0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E"/>
    <w:rPr>
      <w:b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8164E"/>
    <w:pPr>
      <w:spacing w:line="240" w:lineRule="auto"/>
    </w:pPr>
    <w:rPr>
      <w:rFonts w:ascii="Calibri" w:eastAsia="Calibri" w:hAnsi="Calibri" w:cs="Calibri"/>
      <w:b w:val="0"/>
      <w:sz w:val="22"/>
      <w:szCs w:val="22"/>
      <w:lang w:val="ru-RU"/>
    </w:rPr>
  </w:style>
  <w:style w:type="character" w:customStyle="1" w:styleId="FontStyle15">
    <w:name w:val="Font Style15"/>
    <w:rsid w:val="00255040"/>
    <w:rPr>
      <w:rFonts w:ascii="Times New Roman" w:hAnsi="Times New Roman" w:cs="Times New Roman"/>
      <w:b w:val="0"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2D639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6397"/>
    <w:rPr>
      <w:b w:val="0"/>
      <w:lang w:val="ru-RU"/>
    </w:rPr>
  </w:style>
  <w:style w:type="paragraph" w:styleId="a6">
    <w:name w:val="footer"/>
    <w:basedOn w:val="a"/>
    <w:link w:val="a7"/>
    <w:uiPriority w:val="99"/>
    <w:unhideWhenUsed/>
    <w:rsid w:val="002D639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6397"/>
    <w:rPr>
      <w:b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FB91-BAF4-44EB-B1AE-51C0C153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12</Pages>
  <Words>3189</Words>
  <Characters>18180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21327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AKO</cp:lastModifiedBy>
  <cp:revision>26</cp:revision>
  <cp:lastPrinted>2015-11-18T10:10:00Z</cp:lastPrinted>
  <dcterms:created xsi:type="dcterms:W3CDTF">2015-11-13T12:05:00Z</dcterms:created>
  <dcterms:modified xsi:type="dcterms:W3CDTF">2016-03-21T09:14:00Z</dcterms:modified>
</cp:coreProperties>
</file>