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C4F" w:rsidRPr="00232F22" w:rsidRDefault="00E44C4F" w:rsidP="00E44C4F">
      <w:pPr>
        <w:ind w:left="5670"/>
        <w:rPr>
          <w:sz w:val="28"/>
          <w:szCs w:val="28"/>
        </w:rPr>
      </w:pPr>
      <w:r w:rsidRPr="00232F22">
        <w:rPr>
          <w:sz w:val="28"/>
          <w:szCs w:val="28"/>
        </w:rPr>
        <w:t xml:space="preserve">Додаток </w:t>
      </w:r>
    </w:p>
    <w:p w:rsidR="00E44C4F" w:rsidRPr="00232F22" w:rsidRDefault="00E44C4F" w:rsidP="00E44C4F">
      <w:pPr>
        <w:ind w:left="5670"/>
        <w:rPr>
          <w:sz w:val="28"/>
          <w:szCs w:val="28"/>
        </w:rPr>
      </w:pPr>
      <w:r w:rsidRPr="00232F22">
        <w:rPr>
          <w:sz w:val="28"/>
          <w:szCs w:val="28"/>
        </w:rPr>
        <w:t xml:space="preserve">до рішення </w:t>
      </w:r>
      <w:r w:rsidR="00713DED">
        <w:rPr>
          <w:sz w:val="28"/>
          <w:szCs w:val="28"/>
        </w:rPr>
        <w:t>3</w:t>
      </w:r>
      <w:r w:rsidRPr="00232F22">
        <w:rPr>
          <w:sz w:val="28"/>
          <w:szCs w:val="28"/>
        </w:rPr>
        <w:t xml:space="preserve">-ї сесії </w:t>
      </w:r>
    </w:p>
    <w:p w:rsidR="00E44C4F" w:rsidRPr="00232F22" w:rsidRDefault="00E44C4F" w:rsidP="00E44C4F">
      <w:pPr>
        <w:ind w:left="5670"/>
        <w:rPr>
          <w:sz w:val="28"/>
          <w:szCs w:val="28"/>
        </w:rPr>
      </w:pPr>
      <w:r w:rsidRPr="00232F22">
        <w:rPr>
          <w:sz w:val="28"/>
          <w:szCs w:val="28"/>
        </w:rPr>
        <w:t>обласної ради V</w:t>
      </w:r>
      <w:r w:rsidR="00F3719A">
        <w:rPr>
          <w:sz w:val="28"/>
          <w:szCs w:val="28"/>
        </w:rPr>
        <w:t>І</w:t>
      </w:r>
      <w:r w:rsidRPr="00232F22">
        <w:rPr>
          <w:sz w:val="28"/>
          <w:szCs w:val="28"/>
        </w:rPr>
        <w:t xml:space="preserve">ІІ скликання </w:t>
      </w:r>
    </w:p>
    <w:p w:rsidR="00E44C4F" w:rsidRPr="00232F22" w:rsidRDefault="00E44C4F" w:rsidP="00E44C4F">
      <w:pPr>
        <w:ind w:left="5670"/>
        <w:rPr>
          <w:sz w:val="28"/>
          <w:szCs w:val="28"/>
        </w:rPr>
      </w:pPr>
      <w:r w:rsidRPr="00232F22">
        <w:rPr>
          <w:sz w:val="28"/>
          <w:szCs w:val="28"/>
        </w:rPr>
        <w:t xml:space="preserve">від </w:t>
      </w:r>
      <w:r w:rsidR="00713DED">
        <w:rPr>
          <w:sz w:val="28"/>
          <w:szCs w:val="28"/>
        </w:rPr>
        <w:t xml:space="preserve">30.06.2021 р. </w:t>
      </w:r>
      <w:r w:rsidRPr="00232F22">
        <w:rPr>
          <w:sz w:val="28"/>
          <w:szCs w:val="28"/>
        </w:rPr>
        <w:t xml:space="preserve">№ </w:t>
      </w:r>
      <w:r w:rsidR="00713DED">
        <w:rPr>
          <w:sz w:val="28"/>
          <w:szCs w:val="28"/>
        </w:rPr>
        <w:t>176-3/21</w:t>
      </w:r>
    </w:p>
    <w:p w:rsidR="00E44C4F" w:rsidRPr="00232F22" w:rsidRDefault="00E44C4F" w:rsidP="00E44C4F">
      <w:pPr>
        <w:jc w:val="center"/>
        <w:rPr>
          <w:sz w:val="28"/>
          <w:szCs w:val="28"/>
        </w:rPr>
      </w:pPr>
    </w:p>
    <w:p w:rsidR="00E44C4F" w:rsidRPr="00232F22" w:rsidRDefault="00E44C4F" w:rsidP="00E44C4F">
      <w:pPr>
        <w:jc w:val="center"/>
        <w:rPr>
          <w:b/>
          <w:sz w:val="28"/>
          <w:szCs w:val="28"/>
        </w:rPr>
      </w:pPr>
      <w:r w:rsidRPr="00232F22">
        <w:rPr>
          <w:b/>
          <w:sz w:val="28"/>
          <w:szCs w:val="28"/>
        </w:rPr>
        <w:t xml:space="preserve">Інформація </w:t>
      </w:r>
    </w:p>
    <w:p w:rsidR="00E44C4F" w:rsidRPr="00232F22" w:rsidRDefault="00E44C4F" w:rsidP="00E44C4F">
      <w:pPr>
        <w:jc w:val="center"/>
        <w:rPr>
          <w:b/>
          <w:sz w:val="28"/>
          <w:szCs w:val="28"/>
        </w:rPr>
      </w:pPr>
      <w:r w:rsidRPr="00232F22">
        <w:rPr>
          <w:b/>
          <w:sz w:val="28"/>
          <w:szCs w:val="28"/>
        </w:rPr>
        <w:t>щодо реагування на звернення депутатів Чернівецької обласної ради до центральних органів виконавчої влади</w:t>
      </w:r>
    </w:p>
    <w:p w:rsidR="008B0E36" w:rsidRDefault="008B0E36"/>
    <w:p w:rsidR="00E44C4F" w:rsidRDefault="00E44C4F"/>
    <w:p w:rsidR="006A5B2A" w:rsidRPr="00713DED" w:rsidRDefault="00043B15" w:rsidP="00713DED">
      <w:pPr>
        <w:tabs>
          <w:tab w:val="left" w:pos="1134"/>
        </w:tabs>
        <w:ind w:firstLine="709"/>
        <w:jc w:val="both"/>
        <w:rPr>
          <w:sz w:val="28"/>
          <w:szCs w:val="28"/>
        </w:rPr>
      </w:pPr>
      <w:r w:rsidRPr="00713DED">
        <w:rPr>
          <w:sz w:val="28"/>
          <w:szCs w:val="28"/>
        </w:rPr>
        <w:t>1.</w:t>
      </w:r>
      <w:r w:rsidR="00713DED" w:rsidRPr="00713DED">
        <w:rPr>
          <w:sz w:val="28"/>
          <w:szCs w:val="28"/>
        </w:rPr>
        <w:tab/>
      </w:r>
      <w:r w:rsidR="006A5B2A" w:rsidRPr="00713DED">
        <w:rPr>
          <w:sz w:val="28"/>
          <w:szCs w:val="28"/>
        </w:rPr>
        <w:t xml:space="preserve">Звернення депутатів обласної ради VІІІ скликання до Кабінету Міністрів України (рішення 2-ї сесії обласної ради VІІІ скликання від 31.03.2021 р. № 107-2/21) щодо фінансування Державної програми розвитку регіону українських Карпат на 2020-2022 роки розглянуто. У відповіді Міністерства розвитку громад та територій України вказується, що державна програма розвитку регіону українських Карпат на 2020 – 2022 роки (далі - Програма), затверджена постановою Кабінету Міністрів України від 20.10.2019 № 880 (далі - Постанова). Фінансове забезпечення Програми здійснюється за рахунок коштів, що передбачаються у державному бюджеті на відповідний рік, коштів місцевих бюджетів, а також за рахунок міжнародної фінансової і технічної допомоги та інших джерел, не заборонених законодавством. </w:t>
      </w:r>
      <w:proofErr w:type="spellStart"/>
      <w:r w:rsidR="006A5B2A" w:rsidRPr="00713DED">
        <w:rPr>
          <w:sz w:val="28"/>
          <w:szCs w:val="28"/>
        </w:rPr>
        <w:t>Мінрегіоном</w:t>
      </w:r>
      <w:proofErr w:type="spellEnd"/>
      <w:r w:rsidR="006A5B2A" w:rsidRPr="00713DED">
        <w:rPr>
          <w:sz w:val="28"/>
          <w:szCs w:val="28"/>
        </w:rPr>
        <w:t xml:space="preserve"> </w:t>
      </w:r>
      <w:r w:rsidR="0059173B">
        <w:rPr>
          <w:sz w:val="28"/>
          <w:szCs w:val="28"/>
        </w:rPr>
        <w:t>як головним виконавцем Програми</w:t>
      </w:r>
      <w:r w:rsidR="006A5B2A" w:rsidRPr="00713DED">
        <w:rPr>
          <w:sz w:val="28"/>
          <w:szCs w:val="28"/>
        </w:rPr>
        <w:t xml:space="preserve"> було здійснено всі необхідні заходи для забезпечення її фінансування з окремої бюджетної програми «Підтримка розвитку регіону українських Карпат». Проте, відповідного фінансування з Державного бюджету України на реалізацію Програми у 2020 та 2021 роках не було передбачено. Крім того, листами від 15.02.2021 </w:t>
      </w:r>
      <w:r w:rsidR="006A5B2A" w:rsidRPr="00713DED">
        <w:rPr>
          <w:sz w:val="28"/>
          <w:szCs w:val="28"/>
        </w:rPr>
        <w:br/>
        <w:t xml:space="preserve">№ 7/35/2130-21 та від 22.04.2021 № 7/35/5981-21 </w:t>
      </w:r>
      <w:proofErr w:type="spellStart"/>
      <w:r w:rsidR="006A5B2A" w:rsidRPr="00713DED">
        <w:rPr>
          <w:sz w:val="28"/>
          <w:szCs w:val="28"/>
        </w:rPr>
        <w:t>Мінрегіоном</w:t>
      </w:r>
      <w:proofErr w:type="spellEnd"/>
      <w:r w:rsidR="006A5B2A" w:rsidRPr="00713DED">
        <w:rPr>
          <w:sz w:val="28"/>
          <w:szCs w:val="28"/>
        </w:rPr>
        <w:t xml:space="preserve"> надано Мінфіну пропозиції до Бюджетної декларації на 2022 - 2024 роки, щодо необхідності фінансування нової бюджетної програми «Підтримка розвитку регіону українських Карпат». Разом з тим, зазначається, що Законом України «Про Державний бюджет України на 2021 рік» на підтримку регіонів передбачено видатки розвитку за бюджетною програмою «Субвенція з державного бюджету місцевим бюджетам на здійснення заходів щодо соціально-економічного розвитку окремих територій» (код 3511210) у сумі 6 000 </w:t>
      </w:r>
      <w:proofErr w:type="spellStart"/>
      <w:r w:rsidR="006A5B2A" w:rsidRPr="00713DED">
        <w:rPr>
          <w:sz w:val="28"/>
          <w:szCs w:val="28"/>
        </w:rPr>
        <w:t>млн.грн</w:t>
      </w:r>
      <w:proofErr w:type="spellEnd"/>
      <w:r w:rsidR="006A5B2A" w:rsidRPr="00713DED">
        <w:rPr>
          <w:sz w:val="28"/>
          <w:szCs w:val="28"/>
        </w:rPr>
        <w:t>. (головний розпорядник – Мінфін). Відповідно до статті 35 вищезазначеного Закону, Міністерством фінансів України для підготовки пропозицій щодо розподілу субвенції з державного бюджету місцевим бюджетам на здійснення заходів щодо соціально-економічного розвитку окремих територій (включаючи пропозиції щодо об’єктів і заходів, що можуть забезпечуватися за рахунок цієї субвенції). 23.02.2021 утворено відповідну комісію, до складу якої входять члени Комітету Верховної Ради України з питань бюджету за рішенням цього Комітету (чисельністю не менше 50 відсотків складу такої комісії). На підставі рішення цієї комісії Міністерство фінансів України подає Кабінету Міністрів України для затвердження пропозиції щодо розподілу субвенції з державного бюджету місцевим бюджетам на здійснення заходів щодо соціально-</w:t>
      </w:r>
      <w:r w:rsidR="006A5B2A" w:rsidRPr="00713DED">
        <w:rPr>
          <w:sz w:val="28"/>
          <w:szCs w:val="28"/>
        </w:rPr>
        <w:lastRenderedPageBreak/>
        <w:t>економічного розвитку окремих територій. Порядок та умови надання субвенції з державного бюджету місцевим бюджетам на здійснення заходів щодо соціально-економічного розвитку окремих територій затверджено постановою Кабінету Міністрів України від 06.02.2012 № 106 (в редакції постанови Кабінету Міністрів України від № 102). Згідно з вищезазначеним Порядком, субвенція спрямовується, зокрема і на здійснення заходів Державної програми розвитку регіону українських Карпат на 2020 - 2022 роки, затвердженої постановою Кабінету Міністрів України від 20.10.2019 № 880 (за винятком поточних видатків). Враховуючи зазначене вказується, що завдання та заходи Програми наразі можуть реалізовуватись в рамках виконання інших бюджетних програм, а також за рахунок коштів місцевих бюджетів, за рахунок міжнародної фінансової і технічної допомоги та інших джерел, не заборонених законодавством.</w:t>
      </w:r>
    </w:p>
    <w:p w:rsidR="00421E06" w:rsidRPr="00713DED" w:rsidRDefault="006A5B2A" w:rsidP="00713DED">
      <w:pPr>
        <w:tabs>
          <w:tab w:val="left" w:pos="1134"/>
        </w:tabs>
        <w:ind w:firstLine="709"/>
        <w:jc w:val="both"/>
        <w:rPr>
          <w:sz w:val="28"/>
          <w:szCs w:val="28"/>
        </w:rPr>
      </w:pPr>
      <w:r w:rsidRPr="00713DED">
        <w:rPr>
          <w:sz w:val="28"/>
          <w:szCs w:val="28"/>
        </w:rPr>
        <w:t>2.</w:t>
      </w:r>
      <w:r w:rsidR="00713DED" w:rsidRPr="00713DED">
        <w:rPr>
          <w:sz w:val="28"/>
          <w:szCs w:val="28"/>
        </w:rPr>
        <w:tab/>
      </w:r>
      <w:r w:rsidR="00421E06" w:rsidRPr="00713DED">
        <w:rPr>
          <w:sz w:val="28"/>
          <w:szCs w:val="28"/>
        </w:rPr>
        <w:t xml:space="preserve">Звернення депутатів обласної ради VІІІ скликання до Кабінету Міністрів України та Верховної Ради України </w:t>
      </w:r>
      <w:r w:rsidR="0048541B" w:rsidRPr="00713DED">
        <w:rPr>
          <w:sz w:val="28"/>
          <w:szCs w:val="28"/>
        </w:rPr>
        <w:t xml:space="preserve">(рішення 2-ї сесії обласної ради VІІІ скликання від 31.03.2021 р. № 108-2/21) </w:t>
      </w:r>
      <w:r w:rsidR="00421E06" w:rsidRPr="00713DED">
        <w:rPr>
          <w:sz w:val="28"/>
          <w:szCs w:val="28"/>
        </w:rPr>
        <w:t xml:space="preserve">щодо </w:t>
      </w:r>
      <w:proofErr w:type="spellStart"/>
      <w:r w:rsidR="00421E06" w:rsidRPr="00713DED">
        <w:rPr>
          <w:sz w:val="28"/>
          <w:szCs w:val="28"/>
        </w:rPr>
        <w:t>проєкту</w:t>
      </w:r>
      <w:proofErr w:type="spellEnd"/>
      <w:r w:rsidR="00421E06" w:rsidRPr="00713DED">
        <w:rPr>
          <w:sz w:val="28"/>
          <w:szCs w:val="28"/>
        </w:rPr>
        <w:t xml:space="preserve"> Державної стратегії управління лісами України до 2035 року розглянуто. У відповіді Міністерства захисту довкілля та природних ресурсів України вказується, що відповідно до частини другої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Відповідно до Положення про Міністерство захисту довкілля та природних ресурсів України, затвердженого постановою Кабінету Міністрів України від 25 червня 2020 року № 614 (далі - Положення), </w:t>
      </w:r>
      <w:proofErr w:type="spellStart"/>
      <w:r w:rsidR="00421E06" w:rsidRPr="00713DED">
        <w:rPr>
          <w:sz w:val="28"/>
          <w:szCs w:val="28"/>
        </w:rPr>
        <w:t>Міндовкілля</w:t>
      </w:r>
      <w:proofErr w:type="spellEnd"/>
      <w:r w:rsidR="00421E06" w:rsidRPr="00713DED">
        <w:rPr>
          <w:sz w:val="28"/>
          <w:szCs w:val="28"/>
        </w:rPr>
        <w:t xml:space="preserve"> є центральним органом виконавчої влади, діяльність якого спрямовується і координується Кабінетом Міністрів України. </w:t>
      </w:r>
      <w:proofErr w:type="spellStart"/>
      <w:r w:rsidR="00421E06" w:rsidRPr="00713DED">
        <w:rPr>
          <w:sz w:val="28"/>
          <w:szCs w:val="28"/>
        </w:rPr>
        <w:t>Міндовкілля</w:t>
      </w:r>
      <w:proofErr w:type="spellEnd"/>
      <w:r w:rsidR="00421E06" w:rsidRPr="00713DED">
        <w:rPr>
          <w:sz w:val="28"/>
          <w:szCs w:val="28"/>
        </w:rPr>
        <w:t xml:space="preserve"> є головним органом у системі центральних органів виконавчої влади, який забезпечує, зокрема формування та реалізує в межах повноважень, передбачених законом, державну політику у сфері лісового та мисливського господарства. Згідно з підпунктом 150 пункту 4 Положення </w:t>
      </w:r>
      <w:proofErr w:type="spellStart"/>
      <w:r w:rsidR="00421E06" w:rsidRPr="00713DED">
        <w:rPr>
          <w:sz w:val="28"/>
          <w:szCs w:val="28"/>
        </w:rPr>
        <w:t>Міндовкілля</w:t>
      </w:r>
      <w:proofErr w:type="spellEnd"/>
      <w:r w:rsidR="00421E06" w:rsidRPr="00713DED">
        <w:rPr>
          <w:sz w:val="28"/>
          <w:szCs w:val="28"/>
        </w:rPr>
        <w:t xml:space="preserve"> забезпечує нормативно-правове регулювання, а саме розробляє проекти нормативно-правових актів, видає нормативно-правові акти в межах повноважень, передбачених законом, у сфері лісового господарства. Відповідно до пункту 1 статті 25 Лісового кодексу України центральний орган виконавчої влади, що забезпечує формування державної політики у сфері лісового господарства визначає пріоритетні напрями та стратегію розвитку у сфері лісових відносин. Враховуючи викладене, з метою розв’язання екологічних, економічних та соціальних проблем лісового господарства України, створення умов для його сталого розвитку, реалізації інституційної реформи тощо, Робочою групою з розроблення Державної стратегії управління лісами України до 2035 року (далі - Стратегія), створеною </w:t>
      </w:r>
      <w:proofErr w:type="spellStart"/>
      <w:r w:rsidR="00421E06" w:rsidRPr="00713DED">
        <w:rPr>
          <w:sz w:val="28"/>
          <w:szCs w:val="28"/>
        </w:rPr>
        <w:t>Міндовкілля</w:t>
      </w:r>
      <w:proofErr w:type="spellEnd"/>
      <w:r w:rsidR="00421E06" w:rsidRPr="00713DED">
        <w:rPr>
          <w:sz w:val="28"/>
          <w:szCs w:val="28"/>
        </w:rPr>
        <w:t xml:space="preserve"> за участю народних депутатів України, представників заінтересованих органів державної влади, провідних наукових установ, громадських, міжнародних експертних організації, станом на сьогодні розроблено проект Стратегії. Схвалення Урядом </w:t>
      </w:r>
      <w:r w:rsidR="00421E06" w:rsidRPr="00713DED">
        <w:rPr>
          <w:sz w:val="28"/>
          <w:szCs w:val="28"/>
        </w:rPr>
        <w:lastRenderedPageBreak/>
        <w:t xml:space="preserve">Стратегії сприятиме забезпеченню сталого розвитку й управління лісовим господарством у лісах усіх форм власності, покращенню системи управління лісовим господарством, вдосконаленню структури лісогосподарських підприємств, створенню дієвої системи контролю за веденням лісового господарства, збільшенню площі лісів держави, збереженню </w:t>
      </w:r>
      <w:proofErr w:type="spellStart"/>
      <w:r w:rsidR="00421E06" w:rsidRPr="00713DED">
        <w:rPr>
          <w:sz w:val="28"/>
          <w:szCs w:val="28"/>
        </w:rPr>
        <w:t>біорізноманіття</w:t>
      </w:r>
      <w:proofErr w:type="spellEnd"/>
      <w:r w:rsidR="00421E06" w:rsidRPr="00713DED">
        <w:rPr>
          <w:sz w:val="28"/>
          <w:szCs w:val="28"/>
        </w:rPr>
        <w:t xml:space="preserve"> та невиснажливого лісокористування, задоволенню потреб суспільства в лісових ресурсах, створенню більш сприятливих умов для розвитку підприємництва і нових робочих місць, зменшенню загрози деградації земель, зростанню частки продукції лісового господарства у валовому внутрішньому продукті, забезпеченню зайнятості та соціальної захищеності працівників лісового сектору, зростанню інвестицій у лісову галузь, а також гармонізації норм ведення лісового господарства України до відповідних критеріїв Європейського Союзу. Відповідно до частини першої статті 10 Закону України «Про стратегічну екологічну оцінку» (далі - Закон), стратегічна екологічна оцінка здійснюється у процесі розроблення документа державного планування до його подання для затвердження. Стратегія є документом державного планування та підлягає стратегічній екологічній оцінці. З огляду на викладене, наразі </w:t>
      </w:r>
      <w:proofErr w:type="spellStart"/>
      <w:r w:rsidR="00421E06" w:rsidRPr="00713DED">
        <w:rPr>
          <w:sz w:val="28"/>
          <w:szCs w:val="28"/>
        </w:rPr>
        <w:t>Міндовкілля</w:t>
      </w:r>
      <w:proofErr w:type="spellEnd"/>
      <w:r w:rsidR="00421E06" w:rsidRPr="00713DED">
        <w:rPr>
          <w:sz w:val="28"/>
          <w:szCs w:val="28"/>
        </w:rPr>
        <w:t xml:space="preserve"> завершено проходження процедури стратегічної екологічної оцінки проектом Стратегії, зокрема на виконання вимог Закону, отримано зауваження і пропозицій громадськості, які наразі опрацьовуються. Крім того, в установленому порядку готується до направлення на погодження заінтересованим центральним органам виконавчої влади проект рішення Уряду щодо схвалення Стратегії. Враховуючи зазначене, </w:t>
      </w:r>
      <w:proofErr w:type="spellStart"/>
      <w:r w:rsidR="00421E06" w:rsidRPr="00713DED">
        <w:rPr>
          <w:sz w:val="28"/>
          <w:szCs w:val="28"/>
        </w:rPr>
        <w:t>Міндовкілля</w:t>
      </w:r>
      <w:proofErr w:type="spellEnd"/>
      <w:r w:rsidR="00421E06" w:rsidRPr="00713DED">
        <w:rPr>
          <w:sz w:val="28"/>
          <w:szCs w:val="28"/>
        </w:rPr>
        <w:t xml:space="preserve"> буде взято до відома пропозиції Чернівецької обласної ради під час доопрацювання проекту Стратегії за результатами проходження процедури стратегічної екологічної оцінки та підготовки відповідного рішення Уряду для направлення на розгляд до заінтересованих центральних органів виконавчої влади.</w:t>
      </w:r>
    </w:p>
    <w:p w:rsidR="00421E06" w:rsidRPr="00713DED" w:rsidRDefault="006A5B2A" w:rsidP="00713DED">
      <w:pPr>
        <w:tabs>
          <w:tab w:val="left" w:pos="1134"/>
        </w:tabs>
        <w:ind w:firstLine="709"/>
        <w:jc w:val="both"/>
        <w:rPr>
          <w:sz w:val="28"/>
          <w:szCs w:val="28"/>
        </w:rPr>
      </w:pPr>
      <w:r w:rsidRPr="00713DED">
        <w:rPr>
          <w:sz w:val="28"/>
          <w:szCs w:val="28"/>
        </w:rPr>
        <w:t>3</w:t>
      </w:r>
      <w:r w:rsidR="00421E06" w:rsidRPr="00713DED">
        <w:rPr>
          <w:sz w:val="28"/>
          <w:szCs w:val="28"/>
        </w:rPr>
        <w:t>.</w:t>
      </w:r>
      <w:r w:rsidR="00713DED" w:rsidRPr="00713DED">
        <w:rPr>
          <w:sz w:val="28"/>
          <w:szCs w:val="28"/>
        </w:rPr>
        <w:tab/>
      </w:r>
      <w:r w:rsidR="00421E06" w:rsidRPr="00713DED">
        <w:rPr>
          <w:sz w:val="28"/>
          <w:szCs w:val="28"/>
        </w:rPr>
        <w:t xml:space="preserve">Звернення депутатів обласної ради VІІІ скликання до Верховної Ради України, Кабінету Міністрів України (рішення 2-ї сесії обласної ради VІІІ скликання від 31.03.2021 р. № 109-2/21) щодо повернення повноважень органами місцевого самоврядування у сфері </w:t>
      </w:r>
      <w:proofErr w:type="spellStart"/>
      <w:r w:rsidR="00421E06" w:rsidRPr="00713DED">
        <w:rPr>
          <w:sz w:val="28"/>
          <w:szCs w:val="28"/>
        </w:rPr>
        <w:t>надрокористування</w:t>
      </w:r>
      <w:proofErr w:type="spellEnd"/>
      <w:r w:rsidR="00421E06" w:rsidRPr="00713DED">
        <w:rPr>
          <w:sz w:val="28"/>
          <w:szCs w:val="28"/>
        </w:rPr>
        <w:t xml:space="preserve"> розглянуто. У відповіді Комітету Верховної Ради України з питань екологічної політики та природокористування вказується, що </w:t>
      </w:r>
      <w:r w:rsidR="0084216A" w:rsidRPr="00713DED">
        <w:rPr>
          <w:sz w:val="28"/>
          <w:szCs w:val="28"/>
        </w:rPr>
        <w:t xml:space="preserve">зазначене питання вже розглядалося у Комітеті за зверненнями Кіровоградської, Житомирської, Полтавської та Закарпатської обласних рад. За інформацією Державної служби геології та надр повернення обласним радам повноважень щодо погодження надання надр у користування з метою геологічного вивчення і розробки родовищ корисних копалин загальнодержавного значення, а також для цілей, не пов'язаних з видобуванням корисних копалин, може створити надмірне адміністративне навантаження на </w:t>
      </w:r>
      <w:proofErr w:type="spellStart"/>
      <w:r w:rsidR="0084216A" w:rsidRPr="00713DED">
        <w:rPr>
          <w:sz w:val="28"/>
          <w:szCs w:val="28"/>
        </w:rPr>
        <w:t>надрокористувачів</w:t>
      </w:r>
      <w:proofErr w:type="spellEnd"/>
      <w:r w:rsidR="0084216A" w:rsidRPr="00713DED">
        <w:rPr>
          <w:sz w:val="28"/>
          <w:szCs w:val="28"/>
        </w:rPr>
        <w:t xml:space="preserve"> та різночитання в нормативно-правових актах. Державна служба геології та надр зазначає, що на сьогодні Кодекс України про надра забезпечує належну участь органів місцевого самоврядування у здійсненні регуляторних, управлінських та інших функцій у сфері регулювання гірничих відносин. Так, стаття 9 і зазначеного Кодексу </w:t>
      </w:r>
      <w:r w:rsidR="0084216A" w:rsidRPr="00713DED">
        <w:rPr>
          <w:sz w:val="28"/>
          <w:szCs w:val="28"/>
        </w:rPr>
        <w:lastRenderedPageBreak/>
        <w:t xml:space="preserve">відносить до повноважень місцевих рад, зокрема, надання надр у користування для розробки родовищ корисних копалин місцевого значення, розподіл плати за користування надрами між відповідними місцевими бюджетами, а також розроблення, затвердження та виконання місцевих програм розвитку мінерально-сировинної бази, раціонального використання і охорони надр. Стаття 11 Кодексу покладає на органи місцевого самоврядування функції здійснення державного управління у галузі геологічного вивчення, використання і охорони надр. З огляду на те, що </w:t>
      </w:r>
      <w:proofErr w:type="spellStart"/>
      <w:r w:rsidR="0084216A" w:rsidRPr="00713DED">
        <w:rPr>
          <w:sz w:val="28"/>
          <w:szCs w:val="28"/>
        </w:rPr>
        <w:t>надрокористування</w:t>
      </w:r>
      <w:proofErr w:type="spellEnd"/>
      <w:r w:rsidR="0084216A" w:rsidRPr="00713DED">
        <w:rPr>
          <w:sz w:val="28"/>
          <w:szCs w:val="28"/>
        </w:rPr>
        <w:t xml:space="preserve"> є особливою, специфічною галуззю, оформлення та видача спеціальних дозволів на користування корисними копалинами загальнодержавного значення саме Державною службою геології та надр є на сьогодні засобом застосування уніфікованого підходу до отримання документів дозвільного характеру із забезпеченням єдності та нерозривності процедури отримання документів дозвільного характеру, професійного підходу при розгляді документів та прийнятті рішень, і як наслідок, унеможливлюються ризики корупційних зловживань. Також інформують, що у Міністерстві захисту довкілля та природних ресурсів триває розроблення нової редакції Кодексу України про надра з урахуванням напрацювань і пропозицій фахівців державних органів влади та представників провідних підприємств видобувної галузі. У відповід</w:t>
      </w:r>
      <w:r w:rsidR="007865CE" w:rsidRPr="00713DED">
        <w:rPr>
          <w:sz w:val="28"/>
          <w:szCs w:val="28"/>
        </w:rPr>
        <w:t>ях</w:t>
      </w:r>
      <w:r w:rsidR="0084216A" w:rsidRPr="00713DED">
        <w:rPr>
          <w:sz w:val="28"/>
          <w:szCs w:val="28"/>
        </w:rPr>
        <w:t xml:space="preserve"> </w:t>
      </w:r>
      <w:r w:rsidR="007865CE" w:rsidRPr="00713DED">
        <w:rPr>
          <w:sz w:val="28"/>
          <w:szCs w:val="28"/>
        </w:rPr>
        <w:t xml:space="preserve">Міністерства захисту довкілля та природних ресурсів України і </w:t>
      </w:r>
      <w:r w:rsidR="0084216A" w:rsidRPr="00713DED">
        <w:rPr>
          <w:sz w:val="28"/>
          <w:szCs w:val="28"/>
        </w:rPr>
        <w:t xml:space="preserve">Державної служби геології та надр України зазначається, що відповідно до частини першої статті 4 Закону України «Про дозвільну систему у сфері господарської діяльності» виключно законами, які регулюють відносини, пов’язані з одержанням документів дозвільного характеру, встановлюється, зокрема, дозвільний орган, уповноважений видавати документ дозвільного характеру. Основним законодавчим актом у сфері геологічного вивчення та раціонального використання надр є Кодекс України про надра (далі - Кодекс). Згідно статті 16 Кодексу спеціальні дозволи на користування надрами надаються переможцям аукціонів, крім випадків, визначених Кабінетом Міністрів України, центральним органом виконавчої влади, що реалізує державну політику у сфері геологічного вивчення та раціонального використання надр, або Радою міністрів Автономної Республіки Крим щодо розробки родовищ корисних копалин місцевого значення на території Автономної Республіки Крим. Порядок проведення аукціонів з продажу спеціальних дозволів на користування надрами та порядок їх надання встановлюються Кабінетом Міністрів України. Статтею 9-1 Кодексу визначена компетенція обласних, Київської та Севастопольської міських рад у сфері регулювання гірничих відносин. Так до компетенції обласних, Київської та Севастопольської міських рад у порядку, встановленому цим Кодексом та іншими законодавчими актами, належить: надання надр у користування для розробки родовищ корисних копалин місцевого значення; розподіл між відповідними місцевими бюджетами плати за користування надрами; розроблення, затвердження та виконання місцевих програм розвитку мінерально-сировинної бази, раціонального використання і охорони надр; оголошення геологічних об’єктів, що становлять наукову або </w:t>
      </w:r>
      <w:r w:rsidR="0084216A" w:rsidRPr="00713DED">
        <w:rPr>
          <w:sz w:val="28"/>
          <w:szCs w:val="28"/>
        </w:rPr>
        <w:lastRenderedPageBreak/>
        <w:t xml:space="preserve">культурну цінність, об’єктами природно-заповідного фонду місцевого значення; припинення права на користування ділянкою надр у випадках і порядку, передбачених цим Кодексом; здійснення контролю за використанням та охороною надр; вирішення інших питань у сфері регулювання гірничих відносин, визначених законом. Тож, станом на сьогодні Кодекс забезпечує належну участь органів місцевого самоврядування у здійсненні регуляторних, управлінських та інших функцій під час процедури надання спеціальних дозволів на користування надрами. Наділення органів місцевого самоврядування повноваженнями стосовно погодження надання надр у користування з метою геологічного вивчення і розробки родовищ корисних копалин загальнодержавного значення, а також для цілей, не пов'язаних з видобуванням корисних копалин, може створити надмірне адміністративне навантаження та різночитання в законодавстві України. Також на даний час проводиться робота з опрацювання проекту нового Кодексу України про надра, яким передбачається врегулювання правовідносин у сфері користування надрами, впровадження кращих європейських практик у </w:t>
      </w:r>
      <w:proofErr w:type="spellStart"/>
      <w:r w:rsidR="0084216A" w:rsidRPr="00713DED">
        <w:rPr>
          <w:sz w:val="28"/>
          <w:szCs w:val="28"/>
        </w:rPr>
        <w:t>надрокористуванні</w:t>
      </w:r>
      <w:proofErr w:type="spellEnd"/>
      <w:r w:rsidR="0084216A" w:rsidRPr="00713DED">
        <w:rPr>
          <w:sz w:val="28"/>
          <w:szCs w:val="28"/>
        </w:rPr>
        <w:t xml:space="preserve"> та зменшення регуляторного тиску на бізнес. Разом з тим, зазначається, що згідно пунктів 4 та 4і статті 66 Бюджетного кодексу України до доходів загального фонду бюджету Автономної Республіки Крим та обласних бюджетів належить, зокрема: 25 відсотків рентної плати за користування надрами для видобування корисних копалин загальнодержавного значення (крім рентної плати за користування надрами для видобування нафти, природного газу, газового конденсату та бурштину); 2 відсотки рентної плати за користування надрами для видобування нафти, природного газу та газового конденсату (крім рентної плати за користування надрами в межах континентального шельфу та/або виключної (морської) економічної зони України), що зараховується до бюджету Автономної Республіки Крим, обласних бюджетів за місцезнаходженням (місцем видобутку) відповідних природних ресурсів.</w:t>
      </w:r>
      <w:r w:rsidR="007865CE" w:rsidRPr="00713DED">
        <w:rPr>
          <w:sz w:val="28"/>
          <w:szCs w:val="28"/>
        </w:rPr>
        <w:t xml:space="preserve"> </w:t>
      </w:r>
    </w:p>
    <w:p w:rsidR="00220451" w:rsidRPr="00713DED" w:rsidRDefault="006A5B2A" w:rsidP="00713DED">
      <w:pPr>
        <w:tabs>
          <w:tab w:val="left" w:pos="1134"/>
        </w:tabs>
        <w:ind w:firstLine="709"/>
        <w:jc w:val="both"/>
        <w:rPr>
          <w:sz w:val="28"/>
          <w:szCs w:val="28"/>
        </w:rPr>
      </w:pPr>
      <w:r w:rsidRPr="00713DED">
        <w:rPr>
          <w:sz w:val="28"/>
          <w:szCs w:val="28"/>
        </w:rPr>
        <w:t>4</w:t>
      </w:r>
      <w:r w:rsidR="00A85FDF" w:rsidRPr="00713DED">
        <w:rPr>
          <w:sz w:val="28"/>
          <w:szCs w:val="28"/>
        </w:rPr>
        <w:t>.</w:t>
      </w:r>
      <w:r w:rsidR="00713DED" w:rsidRPr="00713DED">
        <w:rPr>
          <w:sz w:val="28"/>
          <w:szCs w:val="28"/>
        </w:rPr>
        <w:tab/>
      </w:r>
      <w:r w:rsidR="00421E06" w:rsidRPr="00713DED">
        <w:rPr>
          <w:sz w:val="28"/>
          <w:szCs w:val="28"/>
        </w:rPr>
        <w:t>З</w:t>
      </w:r>
      <w:r w:rsidR="00220451" w:rsidRPr="00713DED">
        <w:rPr>
          <w:sz w:val="28"/>
          <w:szCs w:val="28"/>
        </w:rPr>
        <w:t xml:space="preserve">вернення депутатів обласної ради VІІІ скликання до Президента України, Верховної Ради України, Кабінету Міністрів України, Міністерства культури та інформаційної політики України, Київської міської ради (рішення 2-ї сесії обласної ради VІІІ скликання від 31.03.2021 р. № 110-2/21) щодо присвоєння Іванові Миколайчуку найвищої державної нагороди – звання Герой України (посмертно) розглянуто. </w:t>
      </w:r>
      <w:r w:rsidR="007F49B1" w:rsidRPr="00713DED">
        <w:rPr>
          <w:sz w:val="28"/>
          <w:szCs w:val="28"/>
        </w:rPr>
        <w:t xml:space="preserve">У відповіді Міністерства культури та інформаційної політики України вказується, що відповідно до пункту 16 Заходів щодо ефективного та раціонального використання державних коштів, передбачених для утримання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затверджених постановою Кабінету Міністрів України від 11 жовтня 2016 р. № 710, передбачено припинення використання бюджетних коштів (крім коштів спеціального фонду державного бюджету, отриманих як гранти, міжнародна технічна допомога, благодійні внески, власних доходів національних закладів культури) для проведення заходів з відзначення пам’ятних та історичних дат, </w:t>
      </w:r>
      <w:r w:rsidR="007F49B1" w:rsidRPr="00713DED">
        <w:rPr>
          <w:sz w:val="28"/>
          <w:szCs w:val="28"/>
        </w:rPr>
        <w:lastRenderedPageBreak/>
        <w:t xml:space="preserve">ювілеїв підприємств, установ та організацій, а також ювілеїв і вшанування пам’яті видатних осіб (крім заходів, пов’язаних з відзначенням 150-річчя з дня народження Лесі Українки, 150- річчя з дня народження Василя Стефаника, 300-річчя з дня народження Григорія Сковороди) та інших подій (крім заходів, визначених Указами Президента України, централізованих заходів МКІП, пов’язаних з відзначенням Дня Конституції України, Дня незалежності України, Дня Перемоги, Дня пам’яті жертв голодоморів, Дня Соборності України, Дня Гідності та Свободи, Дня пам’яті жертв політичних репресій, Дня захисника України, згідно з планом дій щодо реалізації Стратегії національно-патріотичного виховання дітей та молоді на 2017-2020 роки, затвердженим розпорядженням Кабінету Міністрів України від 18 жовтня 2017 р. № 743), друкування продукції, не пов’язаної з виконанням завдань і функцій органів державної влади та інших державних органів. Щодо присвоєння Івану Миколайчуку звання Герой України. Пунктом 5 частини другої статті 92 Конституції України, частиною другою статті 1 Закону України «Про державні нагороди України» (далі - Закон) передбачено, що державні нагороди встановлюються виключно законами України. Статтею 2 Закону встановлено, що законодавство про державні нагороди складається з Конституції України, цього Закону та указів Президента України, що видаються відповідно до нього. Указом Президента України від 02 грудня 2002 року № 1114/2002 на виконання статті 4 Закону було затверджено Статут звання Герой України (далі - Статут), який визначає підстави для нагородження, містить опис атрибутів звання Герой України, встановлює порядок нагородження, вручення, носіння і зберігання атрибутів звання Герой України та інші правила. Частиною другою статті 6 Закону, пунктом 1 розділу І Статуту встановлено, що звання Герой України присвоюється громадянам України за здійснення визначного геройського вчинку або визначних трудових досягнень. Україна як незалежна демократична держава проголошена 24 серпня 1991 року постановою Верховної Ради Української РСР від 24 серпня 1991 року № 1427-ХІІ «Про проголошення незалежності України». Статтею 4 Конституції України встановлено, що підстави набуття і припинення громадянства України визначаються законом, зокрема, Законом України «Про громадянство України», при цьому слід зауважити, що із встановлених цим Законом норм випливає, що набуття громадянства України є можливим з 1991 року. Отже, особи, що померли до цього року не можуть бути громадянами України (постанова Донецького окружного адміністративного суду від 02 квітня 2010 року (справа № 2а-1219/10/0570). Враховуючи зазначене, для присвоєння звання Герой України борцям за незалежність України за заслуги, які мали місце в минулому і пов’язані зі становленням та розвитком незалежної України та які не набули громадянства України, необхідно внести відповідні зміни до законодавства. Додатково інформуємо, що Міністерство культури та інформаційної політики України у межах повноважень опрацює питання внесення відповідних змін до законодавства. Щодо спорудження пам’ятника Івану Миколайчуку у м. Київ. Порядок спорудження (створення) пам'ятників і монументів встановлює вимоги </w:t>
      </w:r>
      <w:r w:rsidR="007F49B1" w:rsidRPr="00713DED">
        <w:rPr>
          <w:sz w:val="28"/>
          <w:szCs w:val="28"/>
        </w:rPr>
        <w:lastRenderedPageBreak/>
        <w:t xml:space="preserve">щодо підготовки та внесення (далі - Порядок), затверджений наказом Державного комітету України з будівництва та архітектури та Міністерства культури і мистецтв України від 30 листопада 2004 року № 231/806, зареєстрованим в Міністерстві юстиції України 15 грудня 2004 р. за </w:t>
      </w:r>
      <w:r w:rsidR="00713DED">
        <w:rPr>
          <w:sz w:val="28"/>
          <w:szCs w:val="28"/>
        </w:rPr>
        <w:br/>
      </w:r>
      <w:r w:rsidR="007F49B1" w:rsidRPr="00713DED">
        <w:rPr>
          <w:sz w:val="28"/>
          <w:szCs w:val="28"/>
        </w:rPr>
        <w:t>№ 1588/10187, визначає порядок надання пропозицій стосовно спорудження (створення) пам’ятників (монументів) державного і місцевого значення, їх проектування, виготовлення та встановлення. Відповідно до пункту 1.2. Порядку пропозиції щодо спорудження (створення) пам'ятників (монументів) державного значення подаються Кабінету Міністрів України Радою міністрів Автономної Республіки Крим, обласними, Київською та Севастопольською міськими державними адміністраціями не пізніше ніж за півтора роки до запланованої дати їх встановлення. Пропозиції подаються разом з проектом відповідного рішення Кабінету Міністрів України. Клопотання про спорудження (створення) пам’ятників (монументів) державного значення порушуються перед органами виконавчої влади підприємствами, установами, організаціями та об</w:t>
      </w:r>
      <w:r w:rsidR="000070DB" w:rsidRPr="00713DED">
        <w:rPr>
          <w:sz w:val="28"/>
          <w:szCs w:val="28"/>
        </w:rPr>
        <w:t>’</w:t>
      </w:r>
      <w:r w:rsidR="007F49B1" w:rsidRPr="00713DED">
        <w:rPr>
          <w:sz w:val="28"/>
          <w:szCs w:val="28"/>
        </w:rPr>
        <w:t xml:space="preserve">єднаннями громадян. До клопотання додаються додається, зокрема, погодження з органом місцевого самоврядування питання спорудження (створення) пам’ятника (монумента), місця його встановлення з урахуванням генерального плану населеного пункту, іншої містобудівної документації, планування та забудови, що історично склались. У зв’язку з викладеним, просимо направити до одного з суб’єктів, які можуть подавати пропозиції щодо спорудження (створення) пам'ятників (монументів) державного значення, відповідне клопотання з урахування вимог пункту 1.5. Порядку. Щодо створення національної кіностудії імені Івана Миколайчука. На сьогодні, як показує фінансово-економічна звітність, існуючі державні підприємства у сфері кінематографії в сучасних умовах не виконують свою основну функцію та не мають розвитку, оскільки не здатні витримати умови конкуренції, у тому числі за державне фінансування та грантову підтримку. Матеріально-технічна база держаних кіностудій потребує постійних капіталовкладень і за часи існування підприємств значно застаріла. У зв’язку з викладеним, </w:t>
      </w:r>
      <w:proofErr w:type="spellStart"/>
      <w:r w:rsidR="007F49B1" w:rsidRPr="00713DED">
        <w:rPr>
          <w:sz w:val="28"/>
          <w:szCs w:val="28"/>
        </w:rPr>
        <w:t>МКШ</w:t>
      </w:r>
      <w:proofErr w:type="spellEnd"/>
      <w:r w:rsidR="007F49B1" w:rsidRPr="00713DED">
        <w:rPr>
          <w:sz w:val="28"/>
          <w:szCs w:val="28"/>
        </w:rPr>
        <w:t xml:space="preserve"> розглядає питання щодо реорганізації або ліквідації державних кіностудій. Створення нової кіностудії у формі державного підприємства наразі вважаємо недоцільним. Щодо заснування національного музею Івана Миколайчука</w:t>
      </w:r>
      <w:r w:rsidR="00231A60" w:rsidRPr="00713DED">
        <w:rPr>
          <w:sz w:val="28"/>
          <w:szCs w:val="28"/>
        </w:rPr>
        <w:t>.</w:t>
      </w:r>
      <w:r w:rsidR="007F49B1" w:rsidRPr="00713DED">
        <w:rPr>
          <w:sz w:val="28"/>
          <w:szCs w:val="28"/>
        </w:rPr>
        <w:t xml:space="preserve"> Підпунктом 5 пункту 2 Плану заходів з підготовки та відзначення 75- річчя від дня народження Івана Миколайчука, затвердженого розпорядженням Кабінету Міністрів України від 13 січня 2016 р. № 5-р, Уряд ухвалював рішення щодо побудови музейного комплексу Івана Миколайчука в с. </w:t>
      </w:r>
      <w:proofErr w:type="spellStart"/>
      <w:r w:rsidR="007F49B1" w:rsidRPr="00713DED">
        <w:rPr>
          <w:sz w:val="28"/>
          <w:szCs w:val="28"/>
        </w:rPr>
        <w:t>Чортория</w:t>
      </w:r>
      <w:proofErr w:type="spellEnd"/>
      <w:r w:rsidR="007F49B1" w:rsidRPr="00713DED">
        <w:rPr>
          <w:sz w:val="28"/>
          <w:szCs w:val="28"/>
        </w:rPr>
        <w:t xml:space="preserve"> Кіцманського району Чернівецької області (відповідальний виконавець - Чернівецька обласна держадміністрація). Цей пункт, на жаль, не було повною мірою реалізовано. Разом з цим, на сьогодні у селі </w:t>
      </w:r>
      <w:proofErr w:type="spellStart"/>
      <w:r w:rsidR="007F49B1" w:rsidRPr="00713DED">
        <w:rPr>
          <w:sz w:val="28"/>
          <w:szCs w:val="28"/>
        </w:rPr>
        <w:t>Чортория</w:t>
      </w:r>
      <w:proofErr w:type="spellEnd"/>
      <w:r w:rsidR="00231A60" w:rsidRPr="00713DED">
        <w:rPr>
          <w:sz w:val="28"/>
          <w:szCs w:val="28"/>
        </w:rPr>
        <w:t xml:space="preserve"> продовжує функціонувати Мистецько-меморіальний музей-садиба Івана Миколайчука. Відповідно до частини четвертої статті 6 Закону України «Про музеї та музейну справу», музею, що є у державній чи комунальній власності, який має музейні колекції загальнодержавного значення, набув міжнародного </w:t>
      </w:r>
      <w:r w:rsidR="00231A60" w:rsidRPr="00713DED">
        <w:rPr>
          <w:sz w:val="28"/>
          <w:szCs w:val="28"/>
        </w:rPr>
        <w:lastRenderedPageBreak/>
        <w:t xml:space="preserve">визнання і є провідним культурно-освітнім та науково-дослідним закладом у відповідних профільних групах музейної мережі України, у встановленому законодавством порядку може бути надано статус національного музею України. </w:t>
      </w:r>
      <w:r w:rsidR="00220451" w:rsidRPr="00713DED">
        <w:rPr>
          <w:sz w:val="28"/>
          <w:szCs w:val="28"/>
        </w:rPr>
        <w:t xml:space="preserve">У відповіді </w:t>
      </w:r>
      <w:r w:rsidR="0041002E" w:rsidRPr="00713DED">
        <w:rPr>
          <w:sz w:val="28"/>
          <w:szCs w:val="28"/>
        </w:rPr>
        <w:t>Департаменту містобудування та архітектури Київської міської ради зазначається, що згідно зі статтею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Пам’ятники в Україні встановлюються відповідно до Порядку спорудження (створення) пам’ятників і монументів, затвердженого наказом Державного комітету України з будівництва та архітектури, Міністерства культури і мистецтв України від 30.11.04 № 231/806, на виконання постанови Кабінету Міністрів України від 08.09.2004 № 1181 «Деякі питання спорудження (створення) пам’ятників і монументів». Порядок встановлює вимоги щодо підготовки та внесення пропозицій стосовно спорудження (створення) пам’ятників (монументів) державного і місцевого значення, їх проектування, виготовлення та встановлення. Порядок є обов’язковим для виконання центральними та місцевими органами виконавчої влади, об’єднаннями громадян, підприємствами, установами, організаціями при вирішенні питань організації, фінансування, проектування, виготовлення та встановлення пам’ятників (монументів). Також, необхідно врахувати, що встановлення пам’ятників видатним діячам, визначним подіям і датам проводиться на конкурсних умовах.</w:t>
      </w:r>
      <w:r w:rsidR="00231A60" w:rsidRPr="00713DED">
        <w:rPr>
          <w:sz w:val="28"/>
          <w:szCs w:val="28"/>
        </w:rPr>
        <w:t xml:space="preserve"> На виконання листа Секретаріату Кабінету Міністрів України надійшла відповідь обласної державної адміністрації де зазначається, що керуючись пунктом 6 розділу І, пунктом 8 розділу II Статуту звання Герой України, затвердженого Указом Президента України від 02 грудня 2021 року </w:t>
      </w:r>
      <w:r w:rsidR="00713DED">
        <w:rPr>
          <w:sz w:val="28"/>
          <w:szCs w:val="28"/>
        </w:rPr>
        <w:br/>
      </w:r>
      <w:r w:rsidR="00231A60" w:rsidRPr="00713DED">
        <w:rPr>
          <w:sz w:val="28"/>
          <w:szCs w:val="28"/>
        </w:rPr>
        <w:t>№</w:t>
      </w:r>
      <w:r w:rsidR="00713DED">
        <w:rPr>
          <w:sz w:val="28"/>
          <w:szCs w:val="28"/>
        </w:rPr>
        <w:t xml:space="preserve"> </w:t>
      </w:r>
      <w:r w:rsidR="00231A60" w:rsidRPr="00713DED">
        <w:rPr>
          <w:sz w:val="28"/>
          <w:szCs w:val="28"/>
        </w:rPr>
        <w:t>1</w:t>
      </w:r>
      <w:r w:rsidR="00713DED">
        <w:rPr>
          <w:sz w:val="28"/>
          <w:szCs w:val="28"/>
        </w:rPr>
        <w:t>1</w:t>
      </w:r>
      <w:r w:rsidR="00231A60" w:rsidRPr="00713DED">
        <w:rPr>
          <w:sz w:val="28"/>
          <w:szCs w:val="28"/>
        </w:rPr>
        <w:t>14/2002 «Про звання Герой України», Порядком представлення до нагородження державними нагородами України, Почесною грамотою Кабінету Міністрів України, заохочувальними відзнаками Прем’єр-міністра України, відзнаками, цінними подарунками та сувенірною продукцією Чернівецької обласної державної адміністрації, затвердженим розпорядженням обласної державної адміністрації від ЗІ травня 2019 року №547-р «Про Порядок представлення до нагородження», обласна державна адміністрація вживає відповідних заходів щодо присвоєння Іванові Миколайчуку звання Герой України (посмертно).</w:t>
      </w:r>
    </w:p>
    <w:p w:rsidR="0048541B" w:rsidRPr="00713DED" w:rsidRDefault="006A5B2A" w:rsidP="00713DED">
      <w:pPr>
        <w:tabs>
          <w:tab w:val="left" w:pos="1134"/>
        </w:tabs>
        <w:ind w:firstLine="709"/>
        <w:jc w:val="both"/>
        <w:rPr>
          <w:sz w:val="28"/>
          <w:szCs w:val="28"/>
        </w:rPr>
      </w:pPr>
      <w:r w:rsidRPr="00713DED">
        <w:rPr>
          <w:sz w:val="28"/>
          <w:szCs w:val="28"/>
        </w:rPr>
        <w:t>5</w:t>
      </w:r>
      <w:r w:rsidR="0048541B" w:rsidRPr="00713DED">
        <w:rPr>
          <w:sz w:val="28"/>
          <w:szCs w:val="28"/>
        </w:rPr>
        <w:t>.</w:t>
      </w:r>
      <w:r w:rsidR="00713DED" w:rsidRPr="00713DED">
        <w:rPr>
          <w:sz w:val="28"/>
          <w:szCs w:val="28"/>
        </w:rPr>
        <w:tab/>
      </w:r>
      <w:r w:rsidR="0048541B" w:rsidRPr="00713DED">
        <w:rPr>
          <w:sz w:val="28"/>
          <w:szCs w:val="28"/>
        </w:rPr>
        <w:t>Звернення депутатів обласної ради VІІІ скликання до Президента України, Голови Верховної Ради України та Прем’єр-міністра України (рішення 2-ї сесії обласної ради VІІІ скликання від 31.03.2021 р. № 111-2/21) щодо розгляду територіально-транскордонних аспектів європейської та євроатлантичної інтеграції Радою асоціації України з ЄС та на Самітах «Україна – ЄС» і «Східне партнерство» розглянуто. У відповідях Комітетів Верховної Ради України з питань цифрової трансформації</w:t>
      </w:r>
      <w:r w:rsidR="002A0F70" w:rsidRPr="00713DED">
        <w:rPr>
          <w:sz w:val="28"/>
          <w:szCs w:val="28"/>
        </w:rPr>
        <w:t>,</w:t>
      </w:r>
      <w:r w:rsidR="0048541B" w:rsidRPr="00713DED">
        <w:rPr>
          <w:sz w:val="28"/>
          <w:szCs w:val="28"/>
        </w:rPr>
        <w:t xml:space="preserve"> з питань аграрної та земельної політики</w:t>
      </w:r>
      <w:r w:rsidR="002A0F70" w:rsidRPr="00713DED">
        <w:rPr>
          <w:sz w:val="28"/>
          <w:szCs w:val="28"/>
        </w:rPr>
        <w:t xml:space="preserve"> та транспорту та інфраструктури</w:t>
      </w:r>
      <w:r w:rsidR="0048541B" w:rsidRPr="00713DED">
        <w:rPr>
          <w:sz w:val="28"/>
          <w:szCs w:val="28"/>
        </w:rPr>
        <w:t xml:space="preserve"> вказується, що народні депутати України - члени Комітетів ознайомлені із зверненням. </w:t>
      </w:r>
      <w:r w:rsidR="002A0F70" w:rsidRPr="00713DED">
        <w:rPr>
          <w:sz w:val="28"/>
          <w:szCs w:val="28"/>
        </w:rPr>
        <w:t xml:space="preserve">Зазначається, </w:t>
      </w:r>
      <w:r w:rsidR="002A0F70" w:rsidRPr="00713DED">
        <w:rPr>
          <w:sz w:val="28"/>
          <w:szCs w:val="28"/>
        </w:rPr>
        <w:lastRenderedPageBreak/>
        <w:t xml:space="preserve">що на розгляді Верховної Ради України знаходиться законопроект «Про мультимодальні перевезення» (реєстр. № 4258), який створює правову базу регулювання даного виду перевезень. </w:t>
      </w:r>
      <w:proofErr w:type="spellStart"/>
      <w:r w:rsidR="002A0F70" w:rsidRPr="00713DED">
        <w:rPr>
          <w:sz w:val="28"/>
          <w:szCs w:val="28"/>
        </w:rPr>
        <w:t>Законопроєкт</w:t>
      </w:r>
      <w:proofErr w:type="spellEnd"/>
      <w:r w:rsidR="002A0F70" w:rsidRPr="00713DED">
        <w:rPr>
          <w:sz w:val="28"/>
          <w:szCs w:val="28"/>
        </w:rPr>
        <w:t xml:space="preserve"> розглянуто на пленарному засіданні Верховної Ради України у першому читанні і прийнято за основу 05.03.2021 року. Прийняття зазначеного </w:t>
      </w:r>
      <w:proofErr w:type="spellStart"/>
      <w:r w:rsidR="002A0F70" w:rsidRPr="00713DED">
        <w:rPr>
          <w:sz w:val="28"/>
          <w:szCs w:val="28"/>
        </w:rPr>
        <w:t>проєкту</w:t>
      </w:r>
      <w:proofErr w:type="spellEnd"/>
      <w:r w:rsidR="002A0F70" w:rsidRPr="00713DED">
        <w:rPr>
          <w:sz w:val="28"/>
          <w:szCs w:val="28"/>
        </w:rPr>
        <w:t xml:space="preserve"> Закону дозволить забезпечити умови для розвитку і вдосконалення мультимодальних перевезень, зокрема, і контрейлерних перевезень за основними осями Ініціативи </w:t>
      </w:r>
      <w:proofErr w:type="spellStart"/>
      <w:r w:rsidR="002A0F70" w:rsidRPr="00713DED">
        <w:rPr>
          <w:sz w:val="28"/>
          <w:szCs w:val="28"/>
        </w:rPr>
        <w:t>Тримор’я</w:t>
      </w:r>
      <w:proofErr w:type="spellEnd"/>
      <w:r w:rsidR="002A0F70" w:rsidRPr="00713DED">
        <w:rPr>
          <w:sz w:val="28"/>
          <w:szCs w:val="28"/>
        </w:rPr>
        <w:t>.</w:t>
      </w:r>
      <w:r w:rsidR="000070DB" w:rsidRPr="00713DED">
        <w:rPr>
          <w:sz w:val="28"/>
          <w:szCs w:val="28"/>
        </w:rPr>
        <w:t xml:space="preserve"> У відповіді Міністерства з питань реінтеграції тимчасово окупованих територій України повідомляється, що відповідно до абзаці другого пункту 1 Положення про Міністерство, затвердженого постановою Кабінету Міністрів України від 08.06.2016 № 376, </w:t>
      </w:r>
      <w:proofErr w:type="spellStart"/>
      <w:r w:rsidR="000070DB" w:rsidRPr="00713DED">
        <w:rPr>
          <w:sz w:val="28"/>
          <w:szCs w:val="28"/>
        </w:rPr>
        <w:t>Мінреінтеграції</w:t>
      </w:r>
      <w:proofErr w:type="spellEnd"/>
      <w:r w:rsidR="000070DB" w:rsidRPr="00713DED">
        <w:rPr>
          <w:sz w:val="28"/>
          <w:szCs w:val="28"/>
        </w:rPr>
        <w:t xml:space="preserve"> є головним органом у системі центральних органів виконавчої влади, що забезпечує формування та реалізує державну політику з питань тимчасово окупованих територій у Донецькій і Луганській областях та тимчасово окупованої території Автономної Республіки Крим і </w:t>
      </w:r>
      <w:proofErr w:type="spellStart"/>
      <w:r w:rsidR="000070DB" w:rsidRPr="00713DED">
        <w:rPr>
          <w:sz w:val="28"/>
          <w:szCs w:val="28"/>
        </w:rPr>
        <w:t>м.Севастополя</w:t>
      </w:r>
      <w:proofErr w:type="spellEnd"/>
      <w:r w:rsidR="000070DB" w:rsidRPr="00713DED">
        <w:rPr>
          <w:sz w:val="28"/>
          <w:szCs w:val="28"/>
        </w:rPr>
        <w:t xml:space="preserve"> та прилеглих до них територій. </w:t>
      </w:r>
      <w:proofErr w:type="spellStart"/>
      <w:r w:rsidR="000070DB" w:rsidRPr="00713DED">
        <w:rPr>
          <w:sz w:val="28"/>
          <w:szCs w:val="28"/>
        </w:rPr>
        <w:t>Мінреінтеграції</w:t>
      </w:r>
      <w:proofErr w:type="spellEnd"/>
      <w:r w:rsidR="000070DB" w:rsidRPr="00713DED">
        <w:rPr>
          <w:sz w:val="28"/>
          <w:szCs w:val="28"/>
        </w:rPr>
        <w:t xml:space="preserve"> підтримує ініціативу щодо транскордонного співробітництва та розвитку регіонів. У випадку надходження </w:t>
      </w:r>
      <w:proofErr w:type="spellStart"/>
      <w:r w:rsidR="000070DB" w:rsidRPr="00713DED">
        <w:rPr>
          <w:sz w:val="28"/>
          <w:szCs w:val="28"/>
        </w:rPr>
        <w:t>проєктів</w:t>
      </w:r>
      <w:proofErr w:type="spellEnd"/>
      <w:r w:rsidR="000070DB" w:rsidRPr="00713DED">
        <w:rPr>
          <w:sz w:val="28"/>
          <w:szCs w:val="28"/>
        </w:rPr>
        <w:t xml:space="preserve"> актів, розроблених з метою реалізації вищезгаданих ініціатив, </w:t>
      </w:r>
      <w:proofErr w:type="spellStart"/>
      <w:r w:rsidR="000070DB" w:rsidRPr="00713DED">
        <w:rPr>
          <w:sz w:val="28"/>
          <w:szCs w:val="28"/>
        </w:rPr>
        <w:t>Мінреінтеграції</w:t>
      </w:r>
      <w:proofErr w:type="spellEnd"/>
      <w:r w:rsidR="000070DB" w:rsidRPr="00713DED">
        <w:rPr>
          <w:sz w:val="28"/>
          <w:szCs w:val="28"/>
        </w:rPr>
        <w:t xml:space="preserve"> у межах компетенції візьме участь в їх опрацюванні у встановленому порядку.</w:t>
      </w:r>
    </w:p>
    <w:p w:rsidR="005C44ED" w:rsidRPr="00713DED" w:rsidRDefault="006A5B2A" w:rsidP="00713DED">
      <w:pPr>
        <w:tabs>
          <w:tab w:val="left" w:pos="1134"/>
        </w:tabs>
        <w:ind w:firstLine="709"/>
        <w:jc w:val="both"/>
        <w:rPr>
          <w:sz w:val="28"/>
          <w:szCs w:val="28"/>
        </w:rPr>
      </w:pPr>
      <w:r w:rsidRPr="00713DED">
        <w:rPr>
          <w:sz w:val="28"/>
          <w:szCs w:val="28"/>
        </w:rPr>
        <w:t>6</w:t>
      </w:r>
      <w:r w:rsidR="00220451" w:rsidRPr="00713DED">
        <w:rPr>
          <w:sz w:val="28"/>
          <w:szCs w:val="28"/>
        </w:rPr>
        <w:t>.</w:t>
      </w:r>
      <w:r w:rsidR="00713DED" w:rsidRPr="00713DED">
        <w:rPr>
          <w:sz w:val="28"/>
          <w:szCs w:val="28"/>
        </w:rPr>
        <w:tab/>
      </w:r>
      <w:r w:rsidR="005C44ED" w:rsidRPr="00713DED">
        <w:rPr>
          <w:sz w:val="28"/>
          <w:szCs w:val="28"/>
        </w:rPr>
        <w:t>Звернення депутатів обласної ради VІ</w:t>
      </w:r>
      <w:r w:rsidR="00F3719A" w:rsidRPr="00713DED">
        <w:rPr>
          <w:sz w:val="28"/>
          <w:szCs w:val="28"/>
        </w:rPr>
        <w:t>І</w:t>
      </w:r>
      <w:r w:rsidR="005C44ED" w:rsidRPr="00713DED">
        <w:rPr>
          <w:sz w:val="28"/>
          <w:szCs w:val="28"/>
        </w:rPr>
        <w:t xml:space="preserve">І скликання </w:t>
      </w:r>
      <w:r w:rsidR="00F3719A" w:rsidRPr="00713DED">
        <w:rPr>
          <w:sz w:val="28"/>
          <w:szCs w:val="28"/>
        </w:rPr>
        <w:t>до Кабінету Міністрів України, Міністерства оборони України, Міністерства фінансів України, Міністерства охорони здоров’я України (рішення 2-ї сесії обласної ради V</w:t>
      </w:r>
      <w:r w:rsidR="00220451" w:rsidRPr="00713DED">
        <w:rPr>
          <w:sz w:val="28"/>
          <w:szCs w:val="28"/>
        </w:rPr>
        <w:t>І</w:t>
      </w:r>
      <w:r w:rsidR="00F3719A" w:rsidRPr="00713DED">
        <w:rPr>
          <w:sz w:val="28"/>
          <w:szCs w:val="28"/>
        </w:rPr>
        <w:t xml:space="preserve">ІІ скликання від 31.03.2021 р. № 112-2/21) щодо врегулювання окремих питань організації підготовки та проведення призову громадян України на строкову військову службу </w:t>
      </w:r>
      <w:r w:rsidR="005C44ED" w:rsidRPr="00713DED">
        <w:rPr>
          <w:sz w:val="28"/>
          <w:szCs w:val="28"/>
        </w:rPr>
        <w:t xml:space="preserve">розглянуто. </w:t>
      </w:r>
      <w:r w:rsidR="004B4A04" w:rsidRPr="00713DED">
        <w:rPr>
          <w:sz w:val="28"/>
          <w:szCs w:val="28"/>
        </w:rPr>
        <w:t xml:space="preserve">У відповіді Міністерства фінансів України вказується, що </w:t>
      </w:r>
      <w:r w:rsidR="006134BB" w:rsidRPr="00713DED">
        <w:rPr>
          <w:sz w:val="28"/>
          <w:szCs w:val="28"/>
        </w:rPr>
        <w:t xml:space="preserve">згідно із Законом України «Про державні фінансові гарантії медичного обслуговування населення» (далі - Закон) створено новий механізм фінансування надання медичних послуг та лікарських засобів, зокрема, шляхом поступового переходу на оплату з державного бюджету медичних послуг та лікарських засобів, що входять до програми медичних гарантій. Відповідно до Закону і Бюджетного кодексу України з 2020 року за рахунок коштів Державного бюджету України запроваджено реалізацію державних гарантій медичного обслуговування населення за програмою медичних гарантій для всіх видів медичної допомоги. Держава гарантує повну оплату з державного бюджету медичних послуг та лікарських засобів у межах програми медичних гарантій усім громадянам України та надання рівних державних гарантій для реалізації пацієнтами права на охорону здоров’я, доступ до необхідних медичних послуг у закладах охорони здоров’я всіх форм власності, які уклали договір про медичне обслуговування населення. Отже, питання функціонування військово-лікарських комісій для обстеження, лікування призовного контингенту має розглядати Міністерство охорони здоров’я України та Національна служба здоров’я України спільно з місцевими органами влади у рамках реалізації заходів реформи фінансування системи охорони здоров’я. </w:t>
      </w:r>
      <w:r w:rsidR="005C44ED" w:rsidRPr="00713DED">
        <w:rPr>
          <w:sz w:val="28"/>
          <w:szCs w:val="28"/>
        </w:rPr>
        <w:t xml:space="preserve">У відповіді </w:t>
      </w:r>
      <w:r w:rsidR="00F3719A" w:rsidRPr="00713DED">
        <w:rPr>
          <w:sz w:val="28"/>
          <w:szCs w:val="28"/>
        </w:rPr>
        <w:t xml:space="preserve">Командування Медичних сил Збройних Сил </w:t>
      </w:r>
      <w:r w:rsidR="00F3719A" w:rsidRPr="00713DED">
        <w:rPr>
          <w:sz w:val="28"/>
          <w:szCs w:val="28"/>
        </w:rPr>
        <w:lastRenderedPageBreak/>
        <w:t>України</w:t>
      </w:r>
      <w:r w:rsidR="005C44ED" w:rsidRPr="00713DED">
        <w:rPr>
          <w:sz w:val="28"/>
          <w:szCs w:val="28"/>
        </w:rPr>
        <w:t xml:space="preserve"> зазначається, що </w:t>
      </w:r>
      <w:r w:rsidR="00F3719A" w:rsidRPr="00713DED">
        <w:rPr>
          <w:sz w:val="28"/>
          <w:szCs w:val="28"/>
        </w:rPr>
        <w:t>згідно з частиною другою статті 43 Закону України «Про військовий обов’язок і військову службу» центральні органи виконавчої влади, Рада міністрів Автономної Республіки Крим, місцеві державні адміністрації та органи місцевого самоврядування для проведення медичного огляду громадян, призову їх на військову службу, відправлення призваних осіб до військових частин, прийняття на військову службу за контрактом зобов’язані забезпечувати районні (міські) військові комісаріати необхідною кількістю технічних працівників та обслуговуючого персоналу, обладнаними призовними (збірними): пунктами, медикаментами, інструментарієм, медичним і господарським майном, автомобільним транспортом, а також забезпечувати здійснення охорони громадського порядку на призовних пунктах</w:t>
      </w:r>
      <w:r w:rsidR="005C44ED" w:rsidRPr="00713DED">
        <w:rPr>
          <w:sz w:val="28"/>
          <w:szCs w:val="28"/>
        </w:rPr>
        <w:t>.</w:t>
      </w:r>
      <w:r w:rsidR="00F3719A" w:rsidRPr="00713DED">
        <w:rPr>
          <w:sz w:val="28"/>
          <w:szCs w:val="28"/>
        </w:rPr>
        <w:t xml:space="preserve"> Відповідно до частини шостої статті 43 згаданого Закону України за членами комісій з питань приписки до призовних дільниць, призовних та лікарських комісій при районних (міських) військових комісаріатах, лікарями і середнім медичним персоналом, технічними працівниками та обслуговуючим персоналом, які направляються для роботи на призовних дільницях і збірних пунктах під час взяття допризовників на військовий облік і призову громадян на військову службу або на збори для проведення медичного огляду і повторного огляду громадян, а також для відправлення призваних на збірні пункти, на весь час виконання цих обов’язків зберігаються займана посада та середній заробіток за основним місцем роботи. Також повідомляється, що зважаючи на важливість порушеного питання, а також те, що воно не вирішується тривалий час, Міністерство оборони України неодноразово зверталось до Міністерства охорони здоров’я України з пропозицією щодо його розгляду на узгоджувальній нараді за участю представників Національної служби здоров’я України, Міністерства фінансів України та Міністерства оборони України у рамках реалізації заходів фінансування системи охорони здоров’я.</w:t>
      </w:r>
      <w:r w:rsidR="00220451" w:rsidRPr="00713DED">
        <w:rPr>
          <w:sz w:val="28"/>
          <w:szCs w:val="28"/>
        </w:rPr>
        <w:t xml:space="preserve"> У відповіді Міністерства фінансів України зазначається, що </w:t>
      </w:r>
      <w:r w:rsidR="0041002E" w:rsidRPr="00713DED">
        <w:rPr>
          <w:sz w:val="28"/>
          <w:szCs w:val="28"/>
        </w:rPr>
        <w:t xml:space="preserve">згідно із Законом України «Про державні фінансові гарантії медичного обслуговування населення» (далі - Закон) створено новий механізм фінансування надання медичних послуг та лікарських засобів, зокрема, шляхом поступового переходу на оплату з державного бюджету медичних послуг та лікарських засобів, що входять до програми медичних гарантій. Відповідно до Закону і Бюджетного кодексу України з 2020 року за рахунок коштів Державного бюджету України запроваджено реалізацію державних, гарантій медичного обслуговування населення за програмою медичних гарантій для всіх видів медичної допомоги. Держава гарантує повну оплату з державного бюджету медичних послуг та лікарських засобів у межах програми медичних гарантій усім громадянам України та надання рівних державних гарантій для реалізації пацієнтами права на охорону здоров’я, доступ до необхідних медичних послуг у закладах охорони здоров’я всіх форм власності, які уклали договір про медичне обслуговування населення. Вказується, що питання функціонування військово-лікарських комісій для обстеження, лікування призовного контингенту має розглядати Міністерство охорони здоров’я України та Національна служба </w:t>
      </w:r>
      <w:r w:rsidR="0041002E" w:rsidRPr="00713DED">
        <w:rPr>
          <w:sz w:val="28"/>
          <w:szCs w:val="28"/>
        </w:rPr>
        <w:lastRenderedPageBreak/>
        <w:t>здоров’я України спільно з місцевими органами - влади в рамках реалізації заходів реформи фінансування системи охорони здоров’я.</w:t>
      </w:r>
    </w:p>
    <w:p w:rsidR="006A5B2A" w:rsidRPr="00713DED" w:rsidRDefault="006A5B2A" w:rsidP="00713DED">
      <w:pPr>
        <w:tabs>
          <w:tab w:val="left" w:pos="1134"/>
        </w:tabs>
        <w:ind w:firstLine="709"/>
        <w:jc w:val="both"/>
        <w:rPr>
          <w:sz w:val="28"/>
          <w:szCs w:val="28"/>
        </w:rPr>
      </w:pPr>
      <w:r w:rsidRPr="00713DED">
        <w:rPr>
          <w:sz w:val="28"/>
          <w:szCs w:val="28"/>
        </w:rPr>
        <w:t>7</w:t>
      </w:r>
      <w:r w:rsidR="005C44ED" w:rsidRPr="00713DED">
        <w:rPr>
          <w:sz w:val="28"/>
          <w:szCs w:val="28"/>
        </w:rPr>
        <w:t>.</w:t>
      </w:r>
      <w:r w:rsidR="00713DED" w:rsidRPr="00713DED">
        <w:rPr>
          <w:sz w:val="28"/>
          <w:szCs w:val="28"/>
        </w:rPr>
        <w:tab/>
      </w:r>
      <w:r w:rsidRPr="00713DED">
        <w:rPr>
          <w:sz w:val="28"/>
          <w:szCs w:val="28"/>
        </w:rPr>
        <w:t>Звернення депутатів обласної ради VІІІ скликання до Кабінету Міністрів України, Міністерства охорони здоров’я України (рішення 2-ї сесії обласної ради VІІІ скликання від 31.03.2021 р. № 113-2/21) щодо підняття престижності роботи в системі охорони здоров’я розглянуто. На виконання доручення Секретаріату Кабінету Міністрів України Департамент охорони здоров’я обласної державної адміністрації повідомляє наступне, що відповідно до Закону України «Про державні фінансові гарантії медичного обслуговування населення», фінансування закладів охорони здоров’я області здійснюється за рахунок коштів, що надходять від Національної служби здоров’я України згідно затвердженої Кабінетом Міністрів України програми медичних гарантій та за рахунок коштів обласного бюджету через програму підтримки. Департамент охорони здоров’я обласної державної адміністрації всебічно підтримує пропозицію Чернівецької обласної ради щодо підняття престижності роботи у системі охорони здоров’я. Робота в умовах пандемії COVID-19 в області продемонструвала самовідданість, професійність та відповідальність медиків Буковини, які продовжують перебувати на передовій боротьби за життя і здоров’я мешканців області. Ретельний аналіз Постанови Кабінету Міністрів України від 15.02.2021 № 133 «Деякі питання реалізації програми державних гарантій медичного обслуговування населення у ІІ-ІV кварталах 2021 року» показує вкрай недостатній обсяг фінансування тарифів за пакетами медичних послуг, що в свою чергу створює ризики не лише для повноцінної оплати медичної послуги, але й не сприяє можливому зростанню заробітної плати медичних працівників. Переконані, що ефективним покращенням умов оплати праці медичних працівників можливе лише шляхом перегляду Державного бюджету України та підвищення тарифних розрядів медичних працівників встановленої Єдиної тарифної сітки. Враховуючи вищезазначене, Департамент охорони здоров’я обласної державної адміністрації готовий долучитися до ініціативи Чернівецької обласної ради щодо вирішення цього питання в межах компетенції.</w:t>
      </w:r>
    </w:p>
    <w:p w:rsidR="001D22EB" w:rsidRPr="00713DED" w:rsidRDefault="006A5B2A" w:rsidP="00713DED">
      <w:pPr>
        <w:tabs>
          <w:tab w:val="left" w:pos="1134"/>
        </w:tabs>
        <w:ind w:firstLine="709"/>
        <w:jc w:val="both"/>
        <w:rPr>
          <w:sz w:val="28"/>
          <w:szCs w:val="28"/>
        </w:rPr>
      </w:pPr>
      <w:r w:rsidRPr="00713DED">
        <w:rPr>
          <w:sz w:val="28"/>
          <w:szCs w:val="28"/>
        </w:rPr>
        <w:t>8.</w:t>
      </w:r>
      <w:r w:rsidR="00713DED" w:rsidRPr="00713DED">
        <w:rPr>
          <w:sz w:val="28"/>
          <w:szCs w:val="28"/>
        </w:rPr>
        <w:tab/>
      </w:r>
      <w:r w:rsidR="005C44ED" w:rsidRPr="00713DED">
        <w:rPr>
          <w:sz w:val="28"/>
          <w:szCs w:val="28"/>
        </w:rPr>
        <w:t>Звернення депутатів обласної ради V</w:t>
      </w:r>
      <w:r w:rsidR="00F3719A" w:rsidRPr="00713DED">
        <w:rPr>
          <w:sz w:val="28"/>
          <w:szCs w:val="28"/>
        </w:rPr>
        <w:t>І</w:t>
      </w:r>
      <w:r w:rsidR="005C44ED" w:rsidRPr="00713DED">
        <w:rPr>
          <w:sz w:val="28"/>
          <w:szCs w:val="28"/>
        </w:rPr>
        <w:t xml:space="preserve">ІІ скликання </w:t>
      </w:r>
      <w:r w:rsidR="00F3719A" w:rsidRPr="00713DED">
        <w:rPr>
          <w:sz w:val="28"/>
          <w:szCs w:val="28"/>
        </w:rPr>
        <w:t>до Міністерства освіти і науки України та Міністерства фінансів України (рішення 2-ї сесії обласної ради VІ</w:t>
      </w:r>
      <w:r w:rsidR="00766E55" w:rsidRPr="00713DED">
        <w:rPr>
          <w:sz w:val="28"/>
          <w:szCs w:val="28"/>
        </w:rPr>
        <w:t>І</w:t>
      </w:r>
      <w:r w:rsidR="00F3719A" w:rsidRPr="00713DED">
        <w:rPr>
          <w:sz w:val="28"/>
          <w:szCs w:val="28"/>
        </w:rPr>
        <w:t xml:space="preserve">І скликання від </w:t>
      </w:r>
      <w:r w:rsidR="00766E55" w:rsidRPr="00713DED">
        <w:rPr>
          <w:sz w:val="28"/>
          <w:szCs w:val="28"/>
        </w:rPr>
        <w:t>31.03.2021</w:t>
      </w:r>
      <w:r w:rsidR="00F3719A" w:rsidRPr="00713DED">
        <w:rPr>
          <w:sz w:val="28"/>
          <w:szCs w:val="28"/>
        </w:rPr>
        <w:t xml:space="preserve"> р. № </w:t>
      </w:r>
      <w:r w:rsidR="00766E55" w:rsidRPr="00713DED">
        <w:rPr>
          <w:sz w:val="28"/>
          <w:szCs w:val="28"/>
        </w:rPr>
        <w:t>116-2/21</w:t>
      </w:r>
      <w:r w:rsidR="00F3719A" w:rsidRPr="00713DED">
        <w:rPr>
          <w:sz w:val="28"/>
          <w:szCs w:val="28"/>
        </w:rPr>
        <w:t xml:space="preserve">) щодо корегування освітньої субвенції та збільшення її обсягу на 2021 рік </w:t>
      </w:r>
      <w:r w:rsidR="005C44ED" w:rsidRPr="00713DED">
        <w:rPr>
          <w:sz w:val="28"/>
          <w:szCs w:val="28"/>
        </w:rPr>
        <w:t xml:space="preserve">розглянуто. У відповіді Міністерства </w:t>
      </w:r>
      <w:r w:rsidR="00766E55" w:rsidRPr="00713DED">
        <w:rPr>
          <w:sz w:val="28"/>
          <w:szCs w:val="28"/>
        </w:rPr>
        <w:t>фінансів</w:t>
      </w:r>
      <w:r w:rsidR="005C44ED" w:rsidRPr="00713DED">
        <w:rPr>
          <w:sz w:val="28"/>
          <w:szCs w:val="28"/>
        </w:rPr>
        <w:t xml:space="preserve"> України зазначається, що </w:t>
      </w:r>
      <w:r w:rsidR="00766E55" w:rsidRPr="00713DED">
        <w:rPr>
          <w:sz w:val="28"/>
          <w:szCs w:val="28"/>
        </w:rPr>
        <w:t xml:space="preserve">Згідно з частиною четвертою статті 77 Бюджетного кодексу України (далі - Кодекс) місцеві ради під час затвердження бюджетів мають враховувати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Щодо незабезпеченості освітньої субвенції повідомляємо, що формування обсягу освітньої субвенції для місцевих бюджетів на 2021 рік здійснило Міністерство освіти і науки України відповідно до формули розподілу освітньої субвенції між місцевими бюджетами, </w:t>
      </w:r>
      <w:r w:rsidR="00766E55" w:rsidRPr="00713DED">
        <w:rPr>
          <w:sz w:val="28"/>
          <w:szCs w:val="28"/>
        </w:rPr>
        <w:lastRenderedPageBreak/>
        <w:t xml:space="preserve">затвердженої постановою Кабінету Міністрів України від 27.12.2017 № 1088 (у редакції від 17.03.2021 № 209), з урахуванням змін в адміністративно-територіальному устрої України та відповідного перегляду коефіцієнтів приведення, в тому числі розрахункової наповнюваності класів. Розрахунок та розподіл обсягу освітньої субвенції здійснено за єдиними підходами для всіх адміністративно-територіальних одиниць з урахуванням принципу збалансованості та фінансових можливостей державного бюджету. Згідно із зазначеними критеріями освітня субвенція для бюджетів Чернівецької області на 2021 рік врахована в обсязі 2 668,8 </w:t>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що на 383,9 </w:t>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більше аналогічного показника 2020 року. Для вирішення проблемних питань із виплатою заробітної плати педагогічним працівникам закладів загальної середньої освіти мають залучатися залишки коштів освітньої субвенції. Так, станом на 01.01.2021 залишки коштів освітньої субвенції на рахунках місцевих бюджетів Чернівецької області становили 179,7 </w:t>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а. вже на 01.04.2021 їх обсяг збільшився на 18,8 </w:t>
      </w:r>
      <w:proofErr w:type="spellStart"/>
      <w:r w:rsidR="00766E55" w:rsidRPr="00713DED">
        <w:rPr>
          <w:sz w:val="28"/>
          <w:szCs w:val="28"/>
        </w:rPr>
        <w:t>млн</w:t>
      </w:r>
      <w:r w:rsidR="008920A1" w:rsidRPr="00713DED">
        <w:rPr>
          <w:sz w:val="28"/>
          <w:szCs w:val="28"/>
        </w:rPr>
        <w:t>.</w:t>
      </w:r>
      <w:r w:rsidR="00766E55" w:rsidRPr="00713DED">
        <w:rPr>
          <w:sz w:val="28"/>
          <w:szCs w:val="28"/>
        </w:rPr>
        <w:t>грн</w:t>
      </w:r>
      <w:proofErr w:type="spellEnd"/>
      <w:r w:rsidR="008920A1" w:rsidRPr="00713DED">
        <w:rPr>
          <w:sz w:val="28"/>
          <w:szCs w:val="28"/>
        </w:rPr>
        <w:t>.</w:t>
      </w:r>
      <w:r w:rsidR="00766E55" w:rsidRPr="00713DED">
        <w:rPr>
          <w:sz w:val="28"/>
          <w:szCs w:val="28"/>
        </w:rPr>
        <w:t xml:space="preserve"> і становив 198,5 млн. грн. Найбільші залишки коштів освітньої субвенції утворилися в обласному бюджеті - 38,1 </w:t>
      </w:r>
      <w:proofErr w:type="spellStart"/>
      <w:r w:rsidR="00766E55" w:rsidRPr="00713DED">
        <w:rPr>
          <w:sz w:val="28"/>
          <w:szCs w:val="28"/>
        </w:rPr>
        <w:t>млн</w:t>
      </w:r>
      <w:r w:rsidR="008920A1" w:rsidRPr="00713DED">
        <w:rPr>
          <w:sz w:val="28"/>
          <w:szCs w:val="28"/>
        </w:rPr>
        <w:t>.</w:t>
      </w:r>
      <w:r w:rsidR="00766E55" w:rsidRPr="00713DED">
        <w:rPr>
          <w:sz w:val="28"/>
          <w:szCs w:val="28"/>
        </w:rPr>
        <w:t>грн</w:t>
      </w:r>
      <w:proofErr w:type="spellEnd"/>
      <w:r w:rsidR="008920A1" w:rsidRPr="00713DED">
        <w:rPr>
          <w:sz w:val="28"/>
          <w:szCs w:val="28"/>
        </w:rPr>
        <w:t>.</w:t>
      </w:r>
      <w:r w:rsidR="00766E55" w:rsidRPr="00713DED">
        <w:rPr>
          <w:sz w:val="28"/>
          <w:szCs w:val="28"/>
        </w:rPr>
        <w:t xml:space="preserve">, у бюджеті </w:t>
      </w:r>
      <w:proofErr w:type="spellStart"/>
      <w:r w:rsidR="00766E55" w:rsidRPr="00713DED">
        <w:rPr>
          <w:sz w:val="28"/>
          <w:szCs w:val="28"/>
        </w:rPr>
        <w:t>Великокучурівської</w:t>
      </w:r>
      <w:proofErr w:type="spellEnd"/>
      <w:r w:rsidR="00766E55" w:rsidRPr="00713DED">
        <w:rPr>
          <w:sz w:val="28"/>
          <w:szCs w:val="28"/>
        </w:rPr>
        <w:t xml:space="preserve"> сільської територіальної громади - 11,5 </w:t>
      </w:r>
      <w:proofErr w:type="spellStart"/>
      <w:r w:rsidR="00766E55" w:rsidRPr="00713DED">
        <w:rPr>
          <w:sz w:val="28"/>
          <w:szCs w:val="28"/>
        </w:rPr>
        <w:t>млн</w:t>
      </w:r>
      <w:r w:rsidR="008920A1" w:rsidRPr="00713DED">
        <w:rPr>
          <w:sz w:val="28"/>
          <w:szCs w:val="28"/>
        </w:rPr>
        <w:t>.</w:t>
      </w:r>
      <w:r w:rsidR="00766E55" w:rsidRPr="00713DED">
        <w:rPr>
          <w:sz w:val="28"/>
          <w:szCs w:val="28"/>
        </w:rPr>
        <w:t>грн</w:t>
      </w:r>
      <w:proofErr w:type="spellEnd"/>
      <w:r w:rsidR="008920A1" w:rsidRPr="00713DED">
        <w:rPr>
          <w:sz w:val="28"/>
          <w:szCs w:val="28"/>
        </w:rPr>
        <w:t>.</w:t>
      </w:r>
      <w:r w:rsidR="00766E55" w:rsidRPr="00713DED">
        <w:rPr>
          <w:sz w:val="28"/>
          <w:szCs w:val="28"/>
        </w:rPr>
        <w:t xml:space="preserve">, </w:t>
      </w:r>
      <w:proofErr w:type="spellStart"/>
      <w:r w:rsidR="00766E55" w:rsidRPr="00713DED">
        <w:rPr>
          <w:sz w:val="28"/>
          <w:szCs w:val="28"/>
        </w:rPr>
        <w:t>Сокирянської</w:t>
      </w:r>
      <w:proofErr w:type="spellEnd"/>
      <w:r w:rsidR="00766E55" w:rsidRPr="00713DED">
        <w:rPr>
          <w:sz w:val="28"/>
          <w:szCs w:val="28"/>
        </w:rPr>
        <w:t xml:space="preserve"> міської територіальної громади - 11.1</w:t>
      </w:r>
      <w:r w:rsidR="00766E55" w:rsidRPr="00713DED">
        <w:rPr>
          <w:sz w:val="28"/>
          <w:szCs w:val="28"/>
        </w:rPr>
        <w:tab/>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w:t>
      </w:r>
      <w:proofErr w:type="spellStart"/>
      <w:r w:rsidR="00766E55" w:rsidRPr="00713DED">
        <w:rPr>
          <w:sz w:val="28"/>
          <w:szCs w:val="28"/>
        </w:rPr>
        <w:t>Магальської</w:t>
      </w:r>
      <w:proofErr w:type="spellEnd"/>
      <w:r w:rsidR="00766E55" w:rsidRPr="00713DED">
        <w:rPr>
          <w:sz w:val="28"/>
          <w:szCs w:val="28"/>
        </w:rPr>
        <w:t xml:space="preserve"> сільської територіальної громади - 10,3 </w:t>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w:t>
      </w:r>
      <w:proofErr w:type="spellStart"/>
      <w:r w:rsidR="00766E55" w:rsidRPr="00713DED">
        <w:rPr>
          <w:sz w:val="28"/>
          <w:szCs w:val="28"/>
        </w:rPr>
        <w:t>Чудейської</w:t>
      </w:r>
      <w:proofErr w:type="spellEnd"/>
      <w:r w:rsidR="00766E55" w:rsidRPr="00713DED">
        <w:rPr>
          <w:sz w:val="28"/>
          <w:szCs w:val="28"/>
        </w:rPr>
        <w:t xml:space="preserve"> сільської територіальної громади - 9,8 </w:t>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w:t>
      </w:r>
      <w:proofErr w:type="spellStart"/>
      <w:r w:rsidR="00766E55" w:rsidRPr="00713DED">
        <w:rPr>
          <w:sz w:val="28"/>
          <w:szCs w:val="28"/>
        </w:rPr>
        <w:t>Чагорської</w:t>
      </w:r>
      <w:proofErr w:type="spellEnd"/>
      <w:r w:rsidR="00766E55" w:rsidRPr="00713DED">
        <w:rPr>
          <w:sz w:val="28"/>
          <w:szCs w:val="28"/>
        </w:rPr>
        <w:t xml:space="preserve"> сільської територіальної громади - 7,1 </w:t>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w:t>
      </w:r>
      <w:proofErr w:type="spellStart"/>
      <w:r w:rsidR="00766E55" w:rsidRPr="00713DED">
        <w:rPr>
          <w:sz w:val="28"/>
          <w:szCs w:val="28"/>
        </w:rPr>
        <w:t>Сторожинецької</w:t>
      </w:r>
      <w:proofErr w:type="spellEnd"/>
      <w:r w:rsidR="00766E55" w:rsidRPr="00713DED">
        <w:rPr>
          <w:sz w:val="28"/>
          <w:szCs w:val="28"/>
        </w:rPr>
        <w:t xml:space="preserve"> міської територіальної громади - 1,1 </w:t>
      </w:r>
      <w:proofErr w:type="spellStart"/>
      <w:r w:rsidR="00766E55" w:rsidRPr="00713DED">
        <w:rPr>
          <w:sz w:val="28"/>
          <w:szCs w:val="28"/>
        </w:rPr>
        <w:t>млн</w:t>
      </w:r>
      <w:proofErr w:type="spellEnd"/>
      <w:r w:rsidR="00766E55" w:rsidRPr="00713DED">
        <w:rPr>
          <w:sz w:val="28"/>
          <w:szCs w:val="28"/>
        </w:rPr>
        <w:t xml:space="preserve"> </w:t>
      </w:r>
      <w:proofErr w:type="spellStart"/>
      <w:r w:rsidR="00766E55" w:rsidRPr="00713DED">
        <w:rPr>
          <w:sz w:val="28"/>
          <w:szCs w:val="28"/>
        </w:rPr>
        <w:t>грн</w:t>
      </w:r>
      <w:proofErr w:type="spellEnd"/>
      <w:r w:rsidR="00766E55" w:rsidRPr="00713DED">
        <w:rPr>
          <w:sz w:val="28"/>
          <w:szCs w:val="28"/>
        </w:rPr>
        <w:t xml:space="preserve"> та інших. Також зазначається, що Порядком та умовами надання освітньої субвенції з державного бюджету місцевим бюджетам, затвердженими постановою Кабінету Міністрів України від 14.01.2015 № 6, передбачено, що: відповідні місцеві ради мають право додатково понад обсяги субвенції планувати та здійснювати з місцевих бюджетів оплату поточних та капітальних видатків закладів та установ освіти, що визначені у статті </w:t>
      </w:r>
      <w:proofErr w:type="spellStart"/>
      <w:r w:rsidR="00766E55" w:rsidRPr="00713DED">
        <w:rPr>
          <w:sz w:val="28"/>
          <w:szCs w:val="28"/>
        </w:rPr>
        <w:t>ЮЗ2</w:t>
      </w:r>
      <w:proofErr w:type="spellEnd"/>
      <w:r w:rsidR="00766E55" w:rsidRPr="00713DED">
        <w:rPr>
          <w:sz w:val="28"/>
          <w:szCs w:val="28"/>
        </w:rPr>
        <w:t xml:space="preserve"> Кодексу, включаючи погашення бюджетних зобов’язань минулих років, узятих на облік в органах Казначейства;</w:t>
      </w:r>
      <w:r w:rsidR="002F08A1" w:rsidRPr="00713DED">
        <w:rPr>
          <w:sz w:val="28"/>
          <w:szCs w:val="28"/>
        </w:rPr>
        <w:t xml:space="preserve"> </w:t>
      </w:r>
      <w:r w:rsidR="00766E55" w:rsidRPr="00713DED">
        <w:rPr>
          <w:sz w:val="28"/>
          <w:szCs w:val="28"/>
        </w:rPr>
        <w:t>облдержадміністрація за результатами місячного/квартального звіту про виконання місцевих бюджетів має право подати МОН як головному розпоряднику бюджетних коштів пропозиції щодо перерозподілу видатків субвенції між обласним бюджетом, бюджетами територіальних громад (у межах видатків регіону).</w:t>
      </w:r>
      <w:r w:rsidR="002F08A1" w:rsidRPr="00713DED">
        <w:rPr>
          <w:sz w:val="28"/>
          <w:szCs w:val="28"/>
        </w:rPr>
        <w:t xml:space="preserve"> </w:t>
      </w:r>
      <w:r w:rsidR="00766E55" w:rsidRPr="00713DED">
        <w:rPr>
          <w:sz w:val="28"/>
          <w:szCs w:val="28"/>
        </w:rPr>
        <w:t>Слід зазначити, що чинна Формула розподілу освітньої субвенції спрямована на підвищення якості надання освіти шляхом стимулювання органів місцевого самоврядування до здійснення заходів щодо оптимізації неефективної мережі шкіл.</w:t>
      </w:r>
      <w:r w:rsidR="002F08A1" w:rsidRPr="00713DED">
        <w:rPr>
          <w:sz w:val="28"/>
          <w:szCs w:val="28"/>
        </w:rPr>
        <w:t xml:space="preserve"> </w:t>
      </w:r>
      <w:r w:rsidR="00766E55" w:rsidRPr="00713DED">
        <w:rPr>
          <w:sz w:val="28"/>
          <w:szCs w:val="28"/>
        </w:rPr>
        <w:t>Ключовими факторами, що впливають на незабезпеченість видатків на освіту, є велика кількість малокомплектних шкіл, багато класів з низькою фактичною наповнюваністю, висока вартість навчання одного учня, збільшення одиниць педагогічного персоналу тощо.</w:t>
      </w:r>
      <w:r w:rsidR="002F08A1" w:rsidRPr="00713DED">
        <w:rPr>
          <w:sz w:val="28"/>
          <w:szCs w:val="28"/>
        </w:rPr>
        <w:t xml:space="preserve"> </w:t>
      </w:r>
      <w:r w:rsidR="00766E55" w:rsidRPr="00713DED">
        <w:rPr>
          <w:sz w:val="28"/>
          <w:szCs w:val="28"/>
        </w:rPr>
        <w:t>У разі наявності закладів загальної середньої освіти з низькою наповнюваністю класів відповідні місцеві ради мають покривати дефіцит коштів освітньої субвенції за рахунок власних доходів.</w:t>
      </w:r>
      <w:r w:rsidR="002F08A1" w:rsidRPr="00713DED">
        <w:rPr>
          <w:sz w:val="28"/>
          <w:szCs w:val="28"/>
        </w:rPr>
        <w:t xml:space="preserve"> </w:t>
      </w:r>
      <w:r w:rsidR="00766E55" w:rsidRPr="00713DED">
        <w:rPr>
          <w:sz w:val="28"/>
          <w:szCs w:val="28"/>
        </w:rPr>
        <w:t xml:space="preserve">На початок 2020/2021 н. р. у Чернівецькій області функціонувало 7 малокомплектних шкіл І ступеня, в кожній з яких навчалося від 10 до 19 учнів, </w:t>
      </w:r>
      <w:r w:rsidR="00766E55" w:rsidRPr="00713DED">
        <w:rPr>
          <w:sz w:val="28"/>
          <w:szCs w:val="28"/>
        </w:rPr>
        <w:lastRenderedPageBreak/>
        <w:t>3 школи I</w:t>
      </w:r>
      <w:r w:rsidR="002F08A1" w:rsidRPr="00713DED">
        <w:rPr>
          <w:sz w:val="28"/>
          <w:szCs w:val="28"/>
        </w:rPr>
        <w:t>-</w:t>
      </w:r>
      <w:r w:rsidR="00766E55" w:rsidRPr="00713DED">
        <w:rPr>
          <w:sz w:val="28"/>
          <w:szCs w:val="28"/>
        </w:rPr>
        <w:t>II ступенів з кількістю 40 і менше учнів, 4 школи І-ІІІ ступенів, у кожній з яких навчається менше 100 дітей, тощо.</w:t>
      </w:r>
      <w:r w:rsidR="002F08A1" w:rsidRPr="00713DED">
        <w:rPr>
          <w:sz w:val="28"/>
          <w:szCs w:val="28"/>
        </w:rPr>
        <w:t xml:space="preserve"> </w:t>
      </w:r>
      <w:r w:rsidR="00766E55" w:rsidRPr="00713DED">
        <w:rPr>
          <w:sz w:val="28"/>
          <w:szCs w:val="28"/>
        </w:rPr>
        <w:t>Також одним з ключових факторів, що впливають на незабезпеченість видатків на освіту, є збільшення одиниць педагогічного персоналу.</w:t>
      </w:r>
      <w:r w:rsidR="002F08A1" w:rsidRPr="00713DED">
        <w:rPr>
          <w:sz w:val="28"/>
          <w:szCs w:val="28"/>
        </w:rPr>
        <w:t xml:space="preserve"> </w:t>
      </w:r>
      <w:r w:rsidR="00766E55" w:rsidRPr="00713DED">
        <w:rPr>
          <w:sz w:val="28"/>
          <w:szCs w:val="28"/>
        </w:rPr>
        <w:t>За результатами здійснення Мінфіном аналізу даних щодо чисельності педагогічних працівників закладів загальної середньої освіти у поточному році встановлено, що фактична кількість ставок педагогічних працівників у закладах загальної середньої освіти Чернівецької області становить 13,5 тис. од., що на</w:t>
      </w:r>
      <w:r w:rsidR="002F08A1" w:rsidRPr="00713DED">
        <w:rPr>
          <w:sz w:val="28"/>
          <w:szCs w:val="28"/>
        </w:rPr>
        <w:t xml:space="preserve"> 1.1 </w:t>
      </w:r>
      <w:r w:rsidR="00766E55" w:rsidRPr="00713DED">
        <w:rPr>
          <w:sz w:val="28"/>
          <w:szCs w:val="28"/>
        </w:rPr>
        <w:t>тис. од. більше розрахункової кількості ставок (12,4 тис. од.). Це призводить до додаткового фінансового навантаження на бюджети громад</w:t>
      </w:r>
      <w:r w:rsidR="002F08A1" w:rsidRPr="00713DED">
        <w:rPr>
          <w:sz w:val="28"/>
          <w:szCs w:val="28"/>
        </w:rPr>
        <w:t xml:space="preserve">. Наприклад, з бюджету </w:t>
      </w:r>
      <w:proofErr w:type="spellStart"/>
      <w:r w:rsidR="002F08A1" w:rsidRPr="00713DED">
        <w:rPr>
          <w:sz w:val="28"/>
          <w:szCs w:val="28"/>
        </w:rPr>
        <w:t>Сокирянської</w:t>
      </w:r>
      <w:proofErr w:type="spellEnd"/>
      <w:r w:rsidR="002F08A1" w:rsidRPr="00713DED">
        <w:rPr>
          <w:sz w:val="28"/>
          <w:szCs w:val="28"/>
        </w:rPr>
        <w:t xml:space="preserve"> міської територіальної громади додатково утримується 129,7 од. ставок, </w:t>
      </w:r>
      <w:proofErr w:type="spellStart"/>
      <w:r w:rsidR="002F08A1" w:rsidRPr="00713DED">
        <w:rPr>
          <w:sz w:val="28"/>
          <w:szCs w:val="28"/>
        </w:rPr>
        <w:t>Сторожинецької</w:t>
      </w:r>
      <w:proofErr w:type="spellEnd"/>
      <w:r w:rsidR="002F08A1" w:rsidRPr="00713DED">
        <w:rPr>
          <w:sz w:val="28"/>
          <w:szCs w:val="28"/>
        </w:rPr>
        <w:t xml:space="preserve"> міської територіальної громади - 121,7 од. ставок, Хотинської міської територіальної громади - 49,6 од. ставок, </w:t>
      </w:r>
      <w:proofErr w:type="spellStart"/>
      <w:r w:rsidR="002F08A1" w:rsidRPr="00713DED">
        <w:rPr>
          <w:sz w:val="28"/>
          <w:szCs w:val="28"/>
        </w:rPr>
        <w:t>Заставнівської</w:t>
      </w:r>
      <w:proofErr w:type="spellEnd"/>
      <w:r w:rsidR="002F08A1" w:rsidRPr="00713DED">
        <w:rPr>
          <w:sz w:val="28"/>
          <w:szCs w:val="28"/>
        </w:rPr>
        <w:t xml:space="preserve"> міської територіальної громади - 15,9 од. ставок, </w:t>
      </w:r>
      <w:proofErr w:type="spellStart"/>
      <w:r w:rsidR="002F08A1" w:rsidRPr="00713DED">
        <w:rPr>
          <w:sz w:val="28"/>
          <w:szCs w:val="28"/>
        </w:rPr>
        <w:t>Кострижівської</w:t>
      </w:r>
      <w:proofErr w:type="spellEnd"/>
      <w:r w:rsidR="002F08A1" w:rsidRPr="00713DED">
        <w:rPr>
          <w:sz w:val="28"/>
          <w:szCs w:val="28"/>
        </w:rPr>
        <w:t xml:space="preserve"> сільської територіальної громади - 15,3 од. ставок педагогічних працівників шкіл. Зазначене призводить до відволікання суттєвого фінансового ресурсу місцевих бюджетів Чернівецької області на виплату заробітної плати надлишковій кількості педагогічних працівників закладів загальної середньої освіти. Отже, органи місцевого самоврядування мають приймати управлінські рішення, які потребують глибокого аналізу діяльності мережі закладів освіти і цілей здійснення видатків, що дозволить громадам акумулювати власні кошти і спрямовувати їх не на утримання приміщень, а насамперед на виплату заробітної плати педагогічним працівникам та забезпечення учням доступу до якісної освіти. Крім того, Міністерство фінансів України листом від 02.03.2021 № 07010-05-6/6741 звернулося до обласних, Київської міської державних адміністрацій щодо виконання статті 77 Бюджетного кодексу України в частині першочергового врахування під час затвердження місцевих бюджетів потреби в коштах на оплату праці працівників бюджетних установ; упорядкування структури штатної чисельності працівників у межах затверджених асигнувань на оплату праці, не допускаючи збільшення такої чисельності; перегляду розмірів надбавок і доплат, встановлення яких передбачається від мінімального до максимального розмірів, і виплату їх у межах фонду оплати праці; продовження роботи з оптимізації мережі закладів загальної середньої освіти, приведення фактичної наповнюваності класів закладів загальної середньої освіти до розрахункової наповнюваності тощо.</w:t>
      </w:r>
    </w:p>
    <w:p w:rsidR="006134BB" w:rsidRPr="00713DED" w:rsidRDefault="006A5B2A" w:rsidP="00713DED">
      <w:pPr>
        <w:tabs>
          <w:tab w:val="left" w:pos="1134"/>
        </w:tabs>
        <w:ind w:firstLine="709"/>
        <w:jc w:val="both"/>
        <w:rPr>
          <w:sz w:val="28"/>
          <w:szCs w:val="28"/>
        </w:rPr>
      </w:pPr>
      <w:r w:rsidRPr="00713DED">
        <w:rPr>
          <w:sz w:val="28"/>
          <w:szCs w:val="28"/>
        </w:rPr>
        <w:t>9</w:t>
      </w:r>
      <w:r w:rsidR="006134BB" w:rsidRPr="00713DED">
        <w:rPr>
          <w:sz w:val="28"/>
          <w:szCs w:val="28"/>
        </w:rPr>
        <w:t>.</w:t>
      </w:r>
      <w:r w:rsidR="00713DED" w:rsidRPr="00713DED">
        <w:rPr>
          <w:sz w:val="28"/>
          <w:szCs w:val="28"/>
        </w:rPr>
        <w:tab/>
      </w:r>
      <w:r w:rsidR="006134BB" w:rsidRPr="00713DED">
        <w:rPr>
          <w:sz w:val="28"/>
          <w:szCs w:val="28"/>
        </w:rPr>
        <w:t xml:space="preserve">Звернення депутатів обласної ради VІІІ скликання до Президента України, Кабінету Міністрів України, Міністерства інфраструктури України (рішення 2-ї сесії обласної ради VІІІ скликання від 31.03.2021 р. № 120-2/21) щодо завершення будівництва об’їзної дороги навколо міста Чернівці розглянуто. У відповіді державного агентства автомобільних доріг України зазначає, що </w:t>
      </w:r>
      <w:proofErr w:type="spellStart"/>
      <w:r w:rsidR="006134BB" w:rsidRPr="00713DED">
        <w:rPr>
          <w:sz w:val="28"/>
          <w:szCs w:val="28"/>
        </w:rPr>
        <w:t>проєктування</w:t>
      </w:r>
      <w:proofErr w:type="spellEnd"/>
      <w:r w:rsidR="006134BB" w:rsidRPr="00713DED">
        <w:rPr>
          <w:sz w:val="28"/>
          <w:szCs w:val="28"/>
        </w:rPr>
        <w:t xml:space="preserve"> та будівництво об’їзної дороги навколо м. Чернівці є складним та багатофункціональним завданням, що відноситься до </w:t>
      </w:r>
      <w:proofErr w:type="spellStart"/>
      <w:r w:rsidR="006134BB" w:rsidRPr="00713DED">
        <w:rPr>
          <w:sz w:val="28"/>
          <w:szCs w:val="28"/>
        </w:rPr>
        <w:t>загальнорегіональних</w:t>
      </w:r>
      <w:proofErr w:type="spellEnd"/>
      <w:r w:rsidR="006134BB" w:rsidRPr="00713DED">
        <w:rPr>
          <w:sz w:val="28"/>
          <w:szCs w:val="28"/>
        </w:rPr>
        <w:t xml:space="preserve"> програм розвитку територій та інфраструктури, які фінансуються з різних джерел. В свою чергу будівництво нових ділянок доріг, </w:t>
      </w:r>
      <w:r w:rsidR="006134BB" w:rsidRPr="00713DED">
        <w:rPr>
          <w:sz w:val="28"/>
          <w:szCs w:val="28"/>
        </w:rPr>
        <w:lastRenderedPageBreak/>
        <w:t xml:space="preserve">або їх поширення зі збільшенням кількості смуг руху повинно бути передбачено генеральними та детальними планами забудови населених пунктів із урахуванням перспективи їх розвитку та обов’язковим резервуванням земельних ділянок під поширення або нові дороги. Зазначені питання відносяться до компетенції органів місцевого самоврядування різного рівня. Органам місцевого самоврядування доцільно попередньо виконати </w:t>
      </w:r>
      <w:proofErr w:type="spellStart"/>
      <w:r w:rsidR="006134BB" w:rsidRPr="00713DED">
        <w:rPr>
          <w:sz w:val="28"/>
          <w:szCs w:val="28"/>
        </w:rPr>
        <w:t>передпроєктні</w:t>
      </w:r>
      <w:proofErr w:type="spellEnd"/>
      <w:r w:rsidR="006134BB" w:rsidRPr="00713DED">
        <w:rPr>
          <w:sz w:val="28"/>
          <w:szCs w:val="28"/>
        </w:rPr>
        <w:t xml:space="preserve"> роботи ув’язані з генеральними планами населених пунктів для визначення можливості розвитку доріг, забезпечити відведення земельних ділянок, вирішити всі земельні та майнові питання (переоформлення, викуп земельних ділянок та майна, яке на них розміщено). Крім того необхідно замовити розробку техніко-економічного обґрунтування на підставі вихідних даних, які потребують детального обґрунтування, відповідних рішень та визначення варіантів і доцільності їх будівництва.</w:t>
      </w:r>
      <w:r w:rsidR="00851505" w:rsidRPr="00713DED">
        <w:rPr>
          <w:sz w:val="28"/>
          <w:szCs w:val="28"/>
        </w:rPr>
        <w:t xml:space="preserve"> У відповіді Служби автомобільних доріг у Чернівецькій області зазначається, що у планах поточного та майбутніх років Служба вбачає за необхідне завершення ремонтно-будівельних робіт на основних дорогах області, ремонт яких не проводився 30 і більше років і експлуатаційні характеристики їх не відповідають нинішнім значно збільшеним навантаженням. Окрім того, нагальним визначається завершення робіт з ліквідації наслідків стихії 2008 та 2010 років. Питання будівництва третьої та четвертої черг об’їзду навколо міста Чернівці можливо розглядати після виконання вищезазначених заходів орієнтовно після 2023 року. Для цього необхідно провести попередні техніко-економічні та інженерно-технічні вишукування для визначення напрямків можливого об’їзду і після цього приступити до розробки </w:t>
      </w:r>
      <w:proofErr w:type="spellStart"/>
      <w:r w:rsidR="00851505" w:rsidRPr="00713DED">
        <w:rPr>
          <w:sz w:val="28"/>
          <w:szCs w:val="28"/>
        </w:rPr>
        <w:t>проєктної</w:t>
      </w:r>
      <w:proofErr w:type="spellEnd"/>
      <w:r w:rsidR="00851505" w:rsidRPr="00713DED">
        <w:rPr>
          <w:sz w:val="28"/>
          <w:szCs w:val="28"/>
        </w:rPr>
        <w:t xml:space="preserve"> документації будівництва третьої черги.</w:t>
      </w:r>
    </w:p>
    <w:p w:rsidR="0008483D" w:rsidRPr="00713DED" w:rsidRDefault="009C04B1" w:rsidP="00713DED">
      <w:pPr>
        <w:tabs>
          <w:tab w:val="left" w:pos="1134"/>
        </w:tabs>
        <w:ind w:firstLine="709"/>
        <w:jc w:val="both"/>
        <w:rPr>
          <w:sz w:val="28"/>
          <w:szCs w:val="28"/>
        </w:rPr>
      </w:pPr>
      <w:r w:rsidRPr="00713DED">
        <w:rPr>
          <w:sz w:val="28"/>
          <w:szCs w:val="28"/>
        </w:rPr>
        <w:t>10.</w:t>
      </w:r>
      <w:r w:rsidR="00713DED" w:rsidRPr="00713DED">
        <w:rPr>
          <w:sz w:val="28"/>
          <w:szCs w:val="28"/>
        </w:rPr>
        <w:tab/>
      </w:r>
      <w:r w:rsidRPr="00713DED">
        <w:rPr>
          <w:sz w:val="28"/>
          <w:szCs w:val="28"/>
        </w:rPr>
        <w:t>Звернення депутатів обласної ради VІІІ скликання до Кабінету Міністрів України, Державної митної служби України (рішення 2-ї сесії обласної ради VІІІ скликання від 31.03.2021 р. № 121-2/21) щодо відкриття міжнародних пунктів пропуску на території Чернівецької області розглянуто. У відповіді Державної митної служби України зазначається, що реконструкція міжнародних автомобільних пунктів пропуску «</w:t>
      </w:r>
      <w:proofErr w:type="spellStart"/>
      <w:r w:rsidRPr="00713DED">
        <w:rPr>
          <w:sz w:val="28"/>
          <w:szCs w:val="28"/>
        </w:rPr>
        <w:t>Красноїльськ</w:t>
      </w:r>
      <w:proofErr w:type="spellEnd"/>
      <w:r w:rsidRPr="00713DED">
        <w:rPr>
          <w:sz w:val="28"/>
          <w:szCs w:val="28"/>
        </w:rPr>
        <w:t>» та «</w:t>
      </w:r>
      <w:proofErr w:type="spellStart"/>
      <w:r w:rsidRPr="00713DED">
        <w:rPr>
          <w:sz w:val="28"/>
          <w:szCs w:val="28"/>
        </w:rPr>
        <w:t>Дяківці</w:t>
      </w:r>
      <w:proofErr w:type="spellEnd"/>
      <w:r w:rsidRPr="00713DED">
        <w:rPr>
          <w:sz w:val="28"/>
          <w:szCs w:val="28"/>
        </w:rPr>
        <w:t>» розпочато у 2015 році в межах реалізації Програми прикордонного співробітництва «Румунія-Україна-Республіка Молдова 2007 - 2013» Європейського Інструменту Сусідства та Партнерства (далі - ППС ЄІСП). У кінці 2017 року термін дії ППС ЄІСП закінчився, однак реконструкція міжнародних автомобільних пунктів пропуску «</w:t>
      </w:r>
      <w:proofErr w:type="spellStart"/>
      <w:r w:rsidRPr="00713DED">
        <w:rPr>
          <w:sz w:val="28"/>
          <w:szCs w:val="28"/>
        </w:rPr>
        <w:t>Красноїльськ</w:t>
      </w:r>
      <w:proofErr w:type="spellEnd"/>
      <w:r w:rsidRPr="00713DED">
        <w:rPr>
          <w:sz w:val="28"/>
          <w:szCs w:val="28"/>
        </w:rPr>
        <w:t>» та «</w:t>
      </w:r>
      <w:proofErr w:type="spellStart"/>
      <w:r w:rsidRPr="00713DED">
        <w:rPr>
          <w:sz w:val="28"/>
          <w:szCs w:val="28"/>
        </w:rPr>
        <w:t>Дяківці</w:t>
      </w:r>
      <w:proofErr w:type="spellEnd"/>
      <w:r w:rsidRPr="00713DED">
        <w:rPr>
          <w:sz w:val="28"/>
          <w:szCs w:val="28"/>
        </w:rPr>
        <w:t xml:space="preserve">» не була завершена у зв’язку з технічними і фінансовими проблемами (інфляція, зміна нормативів у сфері будівництва, додаткові роботи тощо).З 2019 року, відповідно до Порядку здійснення заходів, пов’язаних з утворенням, реорганізацією або ліквідацією міністерств, інших центральних органів виконавчої влади, затвердженого постановою Кабінету Міністрів України від 20.10.2011 № 1074, розпочато заходи з реорганізації Державної фіскальної служби України. Відповідно до пункту 2 постанови Кабінету Міністрів України від 18 грудня 2018 року № 1200 «Про утворення Державної податкової служби </w:t>
      </w:r>
      <w:r w:rsidRPr="00713DED">
        <w:rPr>
          <w:sz w:val="28"/>
          <w:szCs w:val="28"/>
        </w:rPr>
        <w:lastRenderedPageBreak/>
        <w:t>України та Державної митної служби України» Державна податкова служба та Державна митна служба є правонаступниками майна, прав та обов’язків реорганізованої Державної фіскальної служби у відповідних сферах діяльності У 2020 році, згідно з Положенням про порядок передачі об’єктів права державної власності, затвердженим постановою Кабінету Міністрів України від 21 вересня 1998 року № 1482, об’єкт незавершеного будівництва «Реконструкція автомобільного пункту пропуску «</w:t>
      </w:r>
      <w:proofErr w:type="spellStart"/>
      <w:r w:rsidRPr="00713DED">
        <w:rPr>
          <w:sz w:val="28"/>
          <w:szCs w:val="28"/>
        </w:rPr>
        <w:t>Красноїльськ</w:t>
      </w:r>
      <w:proofErr w:type="spellEnd"/>
      <w:r w:rsidRPr="00713DED">
        <w:rPr>
          <w:sz w:val="28"/>
          <w:szCs w:val="28"/>
        </w:rPr>
        <w:t>» передано з балансу ДФС до балансу Держмитслужби. Також у 2020 році проведено обстеження об’єкта незавершеного будівництва «Реконструкція автомобільного пункту пропуску «</w:t>
      </w:r>
      <w:proofErr w:type="spellStart"/>
      <w:r w:rsidRPr="00713DED">
        <w:rPr>
          <w:sz w:val="28"/>
          <w:szCs w:val="28"/>
        </w:rPr>
        <w:t>Красноїльськ</w:t>
      </w:r>
      <w:proofErr w:type="spellEnd"/>
      <w:r w:rsidRPr="00713DED">
        <w:rPr>
          <w:sz w:val="28"/>
          <w:szCs w:val="28"/>
        </w:rPr>
        <w:t>», за результатами якого виконано коригування проектної документації та проведено експертизу відкоригованого проекту. Реконструкція міжнародних автомобільних пунктів пропуску «</w:t>
      </w:r>
      <w:proofErr w:type="spellStart"/>
      <w:r w:rsidRPr="00713DED">
        <w:rPr>
          <w:sz w:val="28"/>
          <w:szCs w:val="28"/>
        </w:rPr>
        <w:t>Красноїльськ</w:t>
      </w:r>
      <w:proofErr w:type="spellEnd"/>
      <w:r w:rsidRPr="00713DED">
        <w:rPr>
          <w:sz w:val="28"/>
          <w:szCs w:val="28"/>
        </w:rPr>
        <w:t>» та «</w:t>
      </w:r>
      <w:proofErr w:type="spellStart"/>
      <w:r w:rsidRPr="00713DED">
        <w:rPr>
          <w:sz w:val="28"/>
          <w:szCs w:val="28"/>
        </w:rPr>
        <w:t>Дяківці</w:t>
      </w:r>
      <w:proofErr w:type="spellEnd"/>
      <w:r w:rsidRPr="00713DED">
        <w:rPr>
          <w:sz w:val="28"/>
          <w:szCs w:val="28"/>
        </w:rPr>
        <w:t>» включено до Плану заходів з облаштування пріоритетних пунктів пропуску на 2021- 2023 роки, затвердженого розпорядженням Кабінету Міністрів України від 24 березня 2021 року № 246-р. У 2021 році у державному бюджеті на заходи з «Реконструкції автомобільного пункту пропуску «</w:t>
      </w:r>
      <w:proofErr w:type="spellStart"/>
      <w:r w:rsidRPr="00713DED">
        <w:rPr>
          <w:sz w:val="28"/>
          <w:szCs w:val="28"/>
        </w:rPr>
        <w:t>Красноїльськ</w:t>
      </w:r>
      <w:proofErr w:type="spellEnd"/>
      <w:r w:rsidRPr="00713DED">
        <w:rPr>
          <w:sz w:val="28"/>
          <w:szCs w:val="28"/>
        </w:rPr>
        <w:t>» Чернівецької області» передбачено 90701,800 тис. гривень. На сьогодні в системі «</w:t>
      </w:r>
      <w:proofErr w:type="spellStart"/>
      <w:r w:rsidRPr="00713DED">
        <w:rPr>
          <w:sz w:val="28"/>
          <w:szCs w:val="28"/>
        </w:rPr>
        <w:t>Prozorro</w:t>
      </w:r>
      <w:proofErr w:type="spellEnd"/>
      <w:r w:rsidRPr="00713DED">
        <w:rPr>
          <w:sz w:val="28"/>
          <w:szCs w:val="28"/>
        </w:rPr>
        <w:t>» розпочато процедуру закупівлі будівельних робіт на об’єкті ««Реконструкція автомобільного пункту пропуску «</w:t>
      </w:r>
      <w:proofErr w:type="spellStart"/>
      <w:r w:rsidRPr="00713DED">
        <w:rPr>
          <w:sz w:val="28"/>
          <w:szCs w:val="28"/>
        </w:rPr>
        <w:t>Красноїльськ</w:t>
      </w:r>
      <w:proofErr w:type="spellEnd"/>
      <w:r w:rsidRPr="00713DED">
        <w:rPr>
          <w:sz w:val="28"/>
          <w:szCs w:val="28"/>
        </w:rPr>
        <w:t>» (коригування)» з метою вибору підрядної організації та укладання договору на виконання будівельно-монтажних робіт. Держана митна служба України планує завершити «Реконструкції автомобільного пункту пропуску «</w:t>
      </w:r>
      <w:proofErr w:type="spellStart"/>
      <w:r w:rsidRPr="00713DED">
        <w:rPr>
          <w:sz w:val="28"/>
          <w:szCs w:val="28"/>
        </w:rPr>
        <w:t>Красноїльськ</w:t>
      </w:r>
      <w:proofErr w:type="spellEnd"/>
      <w:r w:rsidRPr="00713DED">
        <w:rPr>
          <w:sz w:val="28"/>
          <w:szCs w:val="28"/>
        </w:rPr>
        <w:t>» Чернівецької області» у поточному році. На заходи з «Реконструкції міжнародного автомобільного пункту пропуску «</w:t>
      </w:r>
      <w:proofErr w:type="spellStart"/>
      <w:r w:rsidRPr="00713DED">
        <w:rPr>
          <w:sz w:val="28"/>
          <w:szCs w:val="28"/>
        </w:rPr>
        <w:t>Дяківці</w:t>
      </w:r>
      <w:proofErr w:type="spellEnd"/>
      <w:r w:rsidRPr="00713DED">
        <w:rPr>
          <w:sz w:val="28"/>
          <w:szCs w:val="28"/>
        </w:rPr>
        <w:t>» Чернівецької області» на 2021 рік не було передбачено фінансування, однак Держмитслужба звернулася до Міністерства фінансування України з метою наближення фінансування реконструкції цього пункту пропуску з 2022 року на 2021 рік. Згідно з розписом державного бюджету на 2021 рік на зазначені заходи передбачено 50000,000 тис. гривень. На сьогодні Держмитслужбою та ДФС здійснюються заходи щодо передання об’єкту незавершеного будівництва «Реконструкція автомобільного пункту пропуску «</w:t>
      </w:r>
      <w:proofErr w:type="spellStart"/>
      <w:r w:rsidRPr="00713DED">
        <w:rPr>
          <w:sz w:val="28"/>
          <w:szCs w:val="28"/>
        </w:rPr>
        <w:t>Дяківці</w:t>
      </w:r>
      <w:proofErr w:type="spellEnd"/>
      <w:r w:rsidRPr="00713DED">
        <w:rPr>
          <w:sz w:val="28"/>
          <w:szCs w:val="28"/>
        </w:rPr>
        <w:t xml:space="preserve">» Чернівецької області». В рамках передання проведено інвентаризацію, за результати якої встановлено факт відсутності товарно-матеріальних цінностей у складі виконаних будівельних робіт, заактованих згідно з висновком комісійного експертного будівельно-технічного дослідження Харківського науково-дослідного інституту судових експертиз ім. Заслуженого професора </w:t>
      </w:r>
      <w:r w:rsidRPr="00713DED">
        <w:rPr>
          <w:sz w:val="28"/>
          <w:szCs w:val="28"/>
        </w:rPr>
        <w:br/>
        <w:t xml:space="preserve">М. С. </w:t>
      </w:r>
      <w:proofErr w:type="spellStart"/>
      <w:r w:rsidRPr="00713DED">
        <w:rPr>
          <w:sz w:val="28"/>
          <w:szCs w:val="28"/>
        </w:rPr>
        <w:t>Бокаріуса</w:t>
      </w:r>
      <w:proofErr w:type="spellEnd"/>
      <w:r w:rsidRPr="00713DED">
        <w:rPr>
          <w:sz w:val="28"/>
          <w:szCs w:val="28"/>
        </w:rPr>
        <w:t xml:space="preserve">, відсутність яких було виявлено під час інвентаризації та огляду вказаного об’єкта будівництва. Загальна вартість виконаних робіт відповідно до рішення Господарського суду міста Києва від 22.01.2019 у справі №910/7446/18 становить 23584130,21 гривень. Державною фіскальною службою України на виконання зазначеного рішення суду від загальної суми боргу перераховано 10486680,94 </w:t>
      </w:r>
      <w:proofErr w:type="spellStart"/>
      <w:r w:rsidRPr="00713DED">
        <w:rPr>
          <w:sz w:val="28"/>
          <w:szCs w:val="28"/>
        </w:rPr>
        <w:t>грн</w:t>
      </w:r>
      <w:proofErr w:type="spellEnd"/>
      <w:r w:rsidRPr="00713DED">
        <w:rPr>
          <w:sz w:val="28"/>
          <w:szCs w:val="28"/>
        </w:rPr>
        <w:t xml:space="preserve"> на рахунок підрядної організації ТОВ «Холдингова компанія «</w:t>
      </w:r>
      <w:proofErr w:type="spellStart"/>
      <w:r w:rsidRPr="00713DED">
        <w:rPr>
          <w:sz w:val="28"/>
          <w:szCs w:val="28"/>
        </w:rPr>
        <w:t>Енергомонтажвентиляція</w:t>
      </w:r>
      <w:proofErr w:type="spellEnd"/>
      <w:r w:rsidRPr="00713DED">
        <w:rPr>
          <w:sz w:val="28"/>
          <w:szCs w:val="28"/>
        </w:rPr>
        <w:t xml:space="preserve">». Залишок від загальної суми боргу перед підрядною організацією становить 13170189,03 гривень. 31 березня </w:t>
      </w:r>
      <w:r w:rsidRPr="00713DED">
        <w:rPr>
          <w:sz w:val="28"/>
          <w:szCs w:val="28"/>
        </w:rPr>
        <w:lastRenderedPageBreak/>
        <w:t>2021 року посадовими особами Державної митної служби України, Державної фіскальної служби України та ТОВ «ХК «</w:t>
      </w:r>
      <w:proofErr w:type="spellStart"/>
      <w:r w:rsidRPr="00713DED">
        <w:rPr>
          <w:sz w:val="28"/>
          <w:szCs w:val="28"/>
        </w:rPr>
        <w:t>Енергомонтажвентиляція</w:t>
      </w:r>
      <w:proofErr w:type="spellEnd"/>
      <w:r w:rsidRPr="00713DED">
        <w:rPr>
          <w:sz w:val="28"/>
          <w:szCs w:val="28"/>
        </w:rPr>
        <w:t>» було проведено спільний огляд об’єкта: «Реконструкція міжнародного пункту пропуску для автомобільного сполучення «</w:t>
      </w:r>
      <w:proofErr w:type="spellStart"/>
      <w:r w:rsidRPr="00713DED">
        <w:rPr>
          <w:sz w:val="28"/>
          <w:szCs w:val="28"/>
        </w:rPr>
        <w:t>Дяківці</w:t>
      </w:r>
      <w:proofErr w:type="spellEnd"/>
      <w:r w:rsidRPr="00713DED">
        <w:rPr>
          <w:sz w:val="28"/>
          <w:szCs w:val="28"/>
        </w:rPr>
        <w:t xml:space="preserve">» Чернівецька область» в межах компетенції. Посадовими особами Державної фіскальної служби України було складено перелік товарно-матеріальних цінностей у складі виконаних робіт, заактованих згідно з висновком комісійного експертного будівельно-технічного дослідження Харківського науково-дослідного інституту судових експертиз ім. Заслуженого професора М. С. </w:t>
      </w:r>
      <w:proofErr w:type="spellStart"/>
      <w:r w:rsidRPr="00713DED">
        <w:rPr>
          <w:sz w:val="28"/>
          <w:szCs w:val="28"/>
        </w:rPr>
        <w:t>Бокаріуса</w:t>
      </w:r>
      <w:proofErr w:type="spellEnd"/>
      <w:r w:rsidRPr="00713DED">
        <w:rPr>
          <w:sz w:val="28"/>
          <w:szCs w:val="28"/>
        </w:rPr>
        <w:t>, відсутність яких було виявлено під час інвентаризації та огляду вказаного об’єкта будівництва. Відповідно до акту інвентаризації проектною організацією ПП «</w:t>
      </w:r>
      <w:proofErr w:type="spellStart"/>
      <w:r w:rsidRPr="00713DED">
        <w:rPr>
          <w:sz w:val="28"/>
          <w:szCs w:val="28"/>
        </w:rPr>
        <w:t>Проект-</w:t>
      </w:r>
      <w:proofErr w:type="spellEnd"/>
      <w:r w:rsidRPr="00713DED">
        <w:rPr>
          <w:sz w:val="28"/>
          <w:szCs w:val="28"/>
        </w:rPr>
        <w:t xml:space="preserve"> центр» було проведено експертизу кошторисів та актів виконаних робіт по «Реконструкції міжнародного автомобільного пункту пропуску «</w:t>
      </w:r>
      <w:proofErr w:type="spellStart"/>
      <w:r w:rsidRPr="00713DED">
        <w:rPr>
          <w:sz w:val="28"/>
          <w:szCs w:val="28"/>
        </w:rPr>
        <w:t>Дяківці</w:t>
      </w:r>
      <w:proofErr w:type="spellEnd"/>
      <w:r w:rsidRPr="00713DED">
        <w:rPr>
          <w:sz w:val="28"/>
          <w:szCs w:val="28"/>
        </w:rPr>
        <w:t>» Чернівецької області». З огляду на зазначене, залишок боргу 13170189,03 грн. перед підрядною організацією ТОВ «ХК «</w:t>
      </w:r>
      <w:proofErr w:type="spellStart"/>
      <w:r w:rsidRPr="00713DED">
        <w:rPr>
          <w:sz w:val="28"/>
          <w:szCs w:val="28"/>
        </w:rPr>
        <w:t>Енергомонтажвентиляція</w:t>
      </w:r>
      <w:proofErr w:type="spellEnd"/>
      <w:r w:rsidRPr="00713DED">
        <w:rPr>
          <w:sz w:val="28"/>
          <w:szCs w:val="28"/>
        </w:rPr>
        <w:t>» необхідно зменшити враховуючи вартість відсутніх товарно-матеріальних цінностей та вартість невиконаних об’ємів робіт на суму 3977604,00 гривень. На сьогодні розпочато коригування проектно-кошторисної документації. Після приймання-передачі об’єкту незавершеного будівництва «Реконструкція автомобільного пункту пропуску «</w:t>
      </w:r>
      <w:proofErr w:type="spellStart"/>
      <w:r w:rsidRPr="00713DED">
        <w:rPr>
          <w:sz w:val="28"/>
          <w:szCs w:val="28"/>
        </w:rPr>
        <w:t>Дяківці</w:t>
      </w:r>
      <w:proofErr w:type="spellEnd"/>
      <w:r w:rsidRPr="00713DED">
        <w:rPr>
          <w:sz w:val="28"/>
          <w:szCs w:val="28"/>
        </w:rPr>
        <w:t>» Чернівецької області», буде проведено експертизу, підготовлено тендерну документацію для подальшого проведення торгів у системі «</w:t>
      </w:r>
      <w:proofErr w:type="spellStart"/>
      <w:r w:rsidRPr="00713DED">
        <w:rPr>
          <w:sz w:val="28"/>
          <w:szCs w:val="28"/>
        </w:rPr>
        <w:t>Prozorro</w:t>
      </w:r>
      <w:proofErr w:type="spellEnd"/>
      <w:r w:rsidRPr="00713DED">
        <w:rPr>
          <w:sz w:val="28"/>
          <w:szCs w:val="28"/>
        </w:rPr>
        <w:t>» та вибору підрядної організації для укладання договору та продовження реконструкції цього пункту пропуску. Орієнтовна дата завершення «Реконструкції міжнародного автомобільного пункту пропуску «</w:t>
      </w:r>
      <w:proofErr w:type="spellStart"/>
      <w:r w:rsidRPr="00713DED">
        <w:rPr>
          <w:sz w:val="28"/>
          <w:szCs w:val="28"/>
        </w:rPr>
        <w:t>Дяківці</w:t>
      </w:r>
      <w:proofErr w:type="spellEnd"/>
      <w:r w:rsidRPr="00713DED">
        <w:rPr>
          <w:sz w:val="28"/>
          <w:szCs w:val="28"/>
        </w:rPr>
        <w:t xml:space="preserve">» Чернівецької області» 2021 - 2022 рік. Щодо пункту пропуску «Біла Криниця - </w:t>
      </w:r>
      <w:proofErr w:type="spellStart"/>
      <w:r w:rsidRPr="00713DED">
        <w:rPr>
          <w:sz w:val="28"/>
          <w:szCs w:val="28"/>
        </w:rPr>
        <w:t>Клімеуць</w:t>
      </w:r>
      <w:proofErr w:type="spellEnd"/>
      <w:r w:rsidRPr="00713DED">
        <w:rPr>
          <w:sz w:val="28"/>
          <w:szCs w:val="28"/>
        </w:rPr>
        <w:t xml:space="preserve">» повідомляємо, що Угодою (у формі обміну нотами) між Кабінетом Міністрів України та Урядом Румунії про відкриття пунктів пропуску для міжнародного сполучення від 31 серпня 2012 року, передбачено, що відкриття цього пункту пропуску для міжнародного сполучення відбудеться після створення відповідних умов, про що сторони домовляться дипломатичними каналами. На наступні три роки проведення заходів з будівництва та відкриття пункту пропуску «Біла Криниця - </w:t>
      </w:r>
      <w:proofErr w:type="spellStart"/>
      <w:r w:rsidRPr="00713DED">
        <w:rPr>
          <w:sz w:val="28"/>
          <w:szCs w:val="28"/>
        </w:rPr>
        <w:t>Клімеуць</w:t>
      </w:r>
      <w:proofErr w:type="spellEnd"/>
      <w:r w:rsidRPr="00713DED">
        <w:rPr>
          <w:sz w:val="28"/>
          <w:szCs w:val="28"/>
        </w:rPr>
        <w:t>» не планується</w:t>
      </w:r>
      <w:r w:rsidR="0059173B">
        <w:rPr>
          <w:sz w:val="28"/>
          <w:szCs w:val="28"/>
        </w:rPr>
        <w:t>.</w:t>
      </w:r>
    </w:p>
    <w:p w:rsidR="00B15FEC" w:rsidRDefault="00B15FEC" w:rsidP="000F250C">
      <w:pPr>
        <w:ind w:firstLine="851"/>
        <w:jc w:val="both"/>
        <w:rPr>
          <w:sz w:val="28"/>
          <w:szCs w:val="28"/>
        </w:rPr>
      </w:pPr>
    </w:p>
    <w:p w:rsidR="00B242C7" w:rsidRDefault="00B242C7" w:rsidP="000F250C">
      <w:pPr>
        <w:ind w:firstLine="851"/>
        <w:jc w:val="both"/>
        <w:rPr>
          <w:sz w:val="28"/>
          <w:szCs w:val="28"/>
        </w:rPr>
      </w:pPr>
    </w:p>
    <w:p w:rsidR="009C04B1" w:rsidRDefault="009C04B1" w:rsidP="000F250C">
      <w:pPr>
        <w:ind w:firstLine="851"/>
        <w:jc w:val="both"/>
        <w:rPr>
          <w:sz w:val="28"/>
          <w:szCs w:val="28"/>
        </w:rPr>
      </w:pPr>
    </w:p>
    <w:p w:rsidR="00FF22A8" w:rsidRDefault="00FF22A8" w:rsidP="00B242C7">
      <w:pPr>
        <w:tabs>
          <w:tab w:val="left" w:pos="7371"/>
        </w:tabs>
        <w:jc w:val="both"/>
      </w:pPr>
      <w:r w:rsidRPr="00B242C7">
        <w:rPr>
          <w:b/>
          <w:sz w:val="28"/>
          <w:szCs w:val="28"/>
        </w:rPr>
        <w:t xml:space="preserve">Керуючий справами обласної ради </w:t>
      </w:r>
      <w:r w:rsidRPr="00B242C7">
        <w:rPr>
          <w:b/>
          <w:sz w:val="28"/>
          <w:szCs w:val="28"/>
        </w:rPr>
        <w:tab/>
        <w:t xml:space="preserve">Микола </w:t>
      </w:r>
      <w:r w:rsidR="00B242C7" w:rsidRPr="00B242C7">
        <w:rPr>
          <w:b/>
          <w:sz w:val="28"/>
          <w:szCs w:val="28"/>
        </w:rPr>
        <w:t>БОРЕЦЬ</w:t>
      </w:r>
    </w:p>
    <w:sectPr w:rsidR="00FF22A8" w:rsidSect="00B242C7">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7B3" w:rsidRDefault="00F247B3" w:rsidP="00B242C7">
      <w:r>
        <w:separator/>
      </w:r>
    </w:p>
  </w:endnote>
  <w:endnote w:type="continuationSeparator" w:id="0">
    <w:p w:rsidR="00F247B3" w:rsidRDefault="00F247B3" w:rsidP="00B242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7B3" w:rsidRDefault="00F247B3" w:rsidP="00B242C7">
      <w:r>
        <w:separator/>
      </w:r>
    </w:p>
  </w:footnote>
  <w:footnote w:type="continuationSeparator" w:id="0">
    <w:p w:rsidR="00F247B3" w:rsidRDefault="00F247B3" w:rsidP="00B242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258345"/>
      <w:docPartObj>
        <w:docPartGallery w:val="Page Numbers (Top of Page)"/>
        <w:docPartUnique/>
      </w:docPartObj>
    </w:sdtPr>
    <w:sdtContent>
      <w:p w:rsidR="00E87979" w:rsidRDefault="00406EF9">
        <w:pPr>
          <w:pStyle w:val="a3"/>
          <w:jc w:val="center"/>
        </w:pPr>
        <w:fldSimple w:instr=" PAGE   \* MERGEFORMAT ">
          <w:r w:rsidR="0059173B">
            <w:rPr>
              <w:noProof/>
            </w:rPr>
            <w:t>16</w:t>
          </w:r>
        </w:fldSimple>
      </w:p>
    </w:sdtContent>
  </w:sdt>
  <w:p w:rsidR="00E87979" w:rsidRDefault="00E8797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44C4F"/>
    <w:rsid w:val="00000005"/>
    <w:rsid w:val="000070DB"/>
    <w:rsid w:val="000221F1"/>
    <w:rsid w:val="00043B15"/>
    <w:rsid w:val="0006210A"/>
    <w:rsid w:val="00081F41"/>
    <w:rsid w:val="0008483D"/>
    <w:rsid w:val="00095DA6"/>
    <w:rsid w:val="000A2493"/>
    <w:rsid w:val="000A3EEE"/>
    <w:rsid w:val="000B30CF"/>
    <w:rsid w:val="000D3B6F"/>
    <w:rsid w:val="000D3F2B"/>
    <w:rsid w:val="000E2AC1"/>
    <w:rsid w:val="000F250C"/>
    <w:rsid w:val="000F4843"/>
    <w:rsid w:val="00103430"/>
    <w:rsid w:val="001157D3"/>
    <w:rsid w:val="00151DDA"/>
    <w:rsid w:val="001877B7"/>
    <w:rsid w:val="00187A5C"/>
    <w:rsid w:val="001A18CE"/>
    <w:rsid w:val="001B6B52"/>
    <w:rsid w:val="001C2874"/>
    <w:rsid w:val="001C6F15"/>
    <w:rsid w:val="001D22EB"/>
    <w:rsid w:val="001F5895"/>
    <w:rsid w:val="0020235A"/>
    <w:rsid w:val="00203231"/>
    <w:rsid w:val="00210F02"/>
    <w:rsid w:val="0021497E"/>
    <w:rsid w:val="002161C0"/>
    <w:rsid w:val="00220451"/>
    <w:rsid w:val="00231A60"/>
    <w:rsid w:val="002414A1"/>
    <w:rsid w:val="00256F75"/>
    <w:rsid w:val="00275B99"/>
    <w:rsid w:val="00276A31"/>
    <w:rsid w:val="00292304"/>
    <w:rsid w:val="002A0F70"/>
    <w:rsid w:val="002A4CA2"/>
    <w:rsid w:val="002E457B"/>
    <w:rsid w:val="002F08A1"/>
    <w:rsid w:val="003030E9"/>
    <w:rsid w:val="003677F9"/>
    <w:rsid w:val="00380892"/>
    <w:rsid w:val="003A2D00"/>
    <w:rsid w:val="003A5B89"/>
    <w:rsid w:val="003D697B"/>
    <w:rsid w:val="003E5F9B"/>
    <w:rsid w:val="003F29AE"/>
    <w:rsid w:val="00406EF9"/>
    <w:rsid w:val="0041002E"/>
    <w:rsid w:val="00412926"/>
    <w:rsid w:val="004172E0"/>
    <w:rsid w:val="00421E06"/>
    <w:rsid w:val="00424003"/>
    <w:rsid w:val="0044105D"/>
    <w:rsid w:val="0048541B"/>
    <w:rsid w:val="004B4A04"/>
    <w:rsid w:val="004B6D79"/>
    <w:rsid w:val="004D20EB"/>
    <w:rsid w:val="004D645E"/>
    <w:rsid w:val="004F6735"/>
    <w:rsid w:val="00504D9D"/>
    <w:rsid w:val="005218F2"/>
    <w:rsid w:val="00525E87"/>
    <w:rsid w:val="00527B6A"/>
    <w:rsid w:val="00530DC4"/>
    <w:rsid w:val="005719DA"/>
    <w:rsid w:val="0059173B"/>
    <w:rsid w:val="005A30CA"/>
    <w:rsid w:val="005C1A23"/>
    <w:rsid w:val="005C44ED"/>
    <w:rsid w:val="005D1692"/>
    <w:rsid w:val="006134BB"/>
    <w:rsid w:val="00664482"/>
    <w:rsid w:val="006A5B2A"/>
    <w:rsid w:val="006A5F87"/>
    <w:rsid w:val="006B1C3C"/>
    <w:rsid w:val="006C0B16"/>
    <w:rsid w:val="006F1722"/>
    <w:rsid w:val="00702FBD"/>
    <w:rsid w:val="0070353B"/>
    <w:rsid w:val="0070555A"/>
    <w:rsid w:val="00713DED"/>
    <w:rsid w:val="00764E79"/>
    <w:rsid w:val="0076556C"/>
    <w:rsid w:val="00766E55"/>
    <w:rsid w:val="007865CE"/>
    <w:rsid w:val="007A200B"/>
    <w:rsid w:val="007A6023"/>
    <w:rsid w:val="007B374F"/>
    <w:rsid w:val="007C296F"/>
    <w:rsid w:val="007D6155"/>
    <w:rsid w:val="007F49B1"/>
    <w:rsid w:val="00800A03"/>
    <w:rsid w:val="00810297"/>
    <w:rsid w:val="0083573D"/>
    <w:rsid w:val="0084216A"/>
    <w:rsid w:val="00851505"/>
    <w:rsid w:val="00856F7E"/>
    <w:rsid w:val="00865D56"/>
    <w:rsid w:val="0087064A"/>
    <w:rsid w:val="008728CA"/>
    <w:rsid w:val="008920A1"/>
    <w:rsid w:val="008A224F"/>
    <w:rsid w:val="008B0E36"/>
    <w:rsid w:val="008C25CE"/>
    <w:rsid w:val="008E63CF"/>
    <w:rsid w:val="00902222"/>
    <w:rsid w:val="00932102"/>
    <w:rsid w:val="00932DF7"/>
    <w:rsid w:val="00940554"/>
    <w:rsid w:val="009445C0"/>
    <w:rsid w:val="0098431E"/>
    <w:rsid w:val="00986527"/>
    <w:rsid w:val="00993372"/>
    <w:rsid w:val="00995B7C"/>
    <w:rsid w:val="009C04B1"/>
    <w:rsid w:val="009D1446"/>
    <w:rsid w:val="009F45D0"/>
    <w:rsid w:val="00A71989"/>
    <w:rsid w:val="00A76CBC"/>
    <w:rsid w:val="00A85FDF"/>
    <w:rsid w:val="00A90ED5"/>
    <w:rsid w:val="00AB604C"/>
    <w:rsid w:val="00AD358E"/>
    <w:rsid w:val="00AF6DB4"/>
    <w:rsid w:val="00B15FEC"/>
    <w:rsid w:val="00B172D6"/>
    <w:rsid w:val="00B242C7"/>
    <w:rsid w:val="00B25475"/>
    <w:rsid w:val="00B30C42"/>
    <w:rsid w:val="00B369E5"/>
    <w:rsid w:val="00B535E8"/>
    <w:rsid w:val="00B93CB2"/>
    <w:rsid w:val="00BB2327"/>
    <w:rsid w:val="00BC04EC"/>
    <w:rsid w:val="00BD029D"/>
    <w:rsid w:val="00BD0C66"/>
    <w:rsid w:val="00BF3C85"/>
    <w:rsid w:val="00BF73C7"/>
    <w:rsid w:val="00C414B5"/>
    <w:rsid w:val="00C435E8"/>
    <w:rsid w:val="00C65A29"/>
    <w:rsid w:val="00C74E46"/>
    <w:rsid w:val="00C9163B"/>
    <w:rsid w:val="00CA4964"/>
    <w:rsid w:val="00CB680B"/>
    <w:rsid w:val="00CC6EF0"/>
    <w:rsid w:val="00CF17C7"/>
    <w:rsid w:val="00D006D9"/>
    <w:rsid w:val="00D04361"/>
    <w:rsid w:val="00D04FF2"/>
    <w:rsid w:val="00D05E38"/>
    <w:rsid w:val="00D26A98"/>
    <w:rsid w:val="00D363E6"/>
    <w:rsid w:val="00D653F5"/>
    <w:rsid w:val="00D666BF"/>
    <w:rsid w:val="00DE71FA"/>
    <w:rsid w:val="00E11AA5"/>
    <w:rsid w:val="00E14B99"/>
    <w:rsid w:val="00E232B3"/>
    <w:rsid w:val="00E44C4F"/>
    <w:rsid w:val="00E71F84"/>
    <w:rsid w:val="00E87979"/>
    <w:rsid w:val="00E87A69"/>
    <w:rsid w:val="00EA3925"/>
    <w:rsid w:val="00EC5029"/>
    <w:rsid w:val="00ED146E"/>
    <w:rsid w:val="00ED6AF3"/>
    <w:rsid w:val="00EF36E5"/>
    <w:rsid w:val="00EF3EA0"/>
    <w:rsid w:val="00F07B3B"/>
    <w:rsid w:val="00F247B3"/>
    <w:rsid w:val="00F318E1"/>
    <w:rsid w:val="00F3719A"/>
    <w:rsid w:val="00F52348"/>
    <w:rsid w:val="00F61302"/>
    <w:rsid w:val="00F616DD"/>
    <w:rsid w:val="00FB20A8"/>
    <w:rsid w:val="00FC1D6E"/>
    <w:rsid w:val="00FC5853"/>
    <w:rsid w:val="00FD2574"/>
    <w:rsid w:val="00FD60CE"/>
    <w:rsid w:val="00FE1644"/>
    <w:rsid w:val="00FF22A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C4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42C7"/>
    <w:pPr>
      <w:tabs>
        <w:tab w:val="center" w:pos="4819"/>
        <w:tab w:val="right" w:pos="9639"/>
      </w:tabs>
    </w:pPr>
  </w:style>
  <w:style w:type="character" w:customStyle="1" w:styleId="a4">
    <w:name w:val="Верхний колонтитул Знак"/>
    <w:basedOn w:val="a0"/>
    <w:link w:val="a3"/>
    <w:uiPriority w:val="99"/>
    <w:rsid w:val="00B242C7"/>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242C7"/>
    <w:pPr>
      <w:tabs>
        <w:tab w:val="center" w:pos="4819"/>
        <w:tab w:val="right" w:pos="9639"/>
      </w:tabs>
    </w:pPr>
  </w:style>
  <w:style w:type="character" w:customStyle="1" w:styleId="a6">
    <w:name w:val="Нижний колонтитул Знак"/>
    <w:basedOn w:val="a0"/>
    <w:link w:val="a5"/>
    <w:uiPriority w:val="99"/>
    <w:rsid w:val="00B242C7"/>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E87979"/>
    <w:rPr>
      <w:rFonts w:ascii="Tahoma" w:hAnsi="Tahoma" w:cs="Tahoma"/>
      <w:sz w:val="16"/>
      <w:szCs w:val="16"/>
    </w:rPr>
  </w:style>
  <w:style w:type="character" w:customStyle="1" w:styleId="a8">
    <w:name w:val="Текст выноски Знак"/>
    <w:basedOn w:val="a0"/>
    <w:link w:val="a7"/>
    <w:uiPriority w:val="99"/>
    <w:semiHidden/>
    <w:rsid w:val="00E8797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E284F-B079-4F59-82D6-FF4362575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31200</Words>
  <Characters>17784</Characters>
  <Application>Microsoft Office Word</Application>
  <DocSecurity>0</DocSecurity>
  <Lines>148</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4</cp:revision>
  <cp:lastPrinted>2021-07-02T10:48:00Z</cp:lastPrinted>
  <dcterms:created xsi:type="dcterms:W3CDTF">2021-07-02T06:01:00Z</dcterms:created>
  <dcterms:modified xsi:type="dcterms:W3CDTF">2021-07-22T16:00:00Z</dcterms:modified>
</cp:coreProperties>
</file>