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8C" w:rsidRPr="002261FD" w:rsidRDefault="00C62D8C" w:rsidP="000E2AC8">
      <w:pPr>
        <w:spacing w:after="0" w:line="240" w:lineRule="auto"/>
        <w:ind w:firstLine="113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61FD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proofErr w:type="spellStart"/>
      <w:r w:rsidRPr="002261FD">
        <w:rPr>
          <w:rFonts w:ascii="Times New Roman" w:hAnsi="Times New Roman" w:cs="Times New Roman"/>
          <w:b/>
          <w:sz w:val="28"/>
          <w:szCs w:val="28"/>
        </w:rPr>
        <w:t>одаток</w:t>
      </w:r>
      <w:proofErr w:type="spellEnd"/>
      <w:r w:rsidRPr="002261FD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126A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50F4E">
        <w:rPr>
          <w:rFonts w:ascii="Times New Roman" w:hAnsi="Times New Roman" w:cs="Times New Roman"/>
          <w:b/>
          <w:sz w:val="28"/>
          <w:szCs w:val="28"/>
          <w:lang w:val="uk-UA"/>
        </w:rPr>
        <w:t>до з</w:t>
      </w:r>
      <w:r w:rsidRPr="002261FD">
        <w:rPr>
          <w:rFonts w:ascii="Times New Roman" w:hAnsi="Times New Roman" w:cs="Times New Roman"/>
          <w:b/>
          <w:sz w:val="28"/>
          <w:szCs w:val="28"/>
          <w:lang w:val="uk-UA"/>
        </w:rPr>
        <w:t>віту</w:t>
      </w:r>
    </w:p>
    <w:p w:rsidR="002261FD" w:rsidRPr="002261FD" w:rsidRDefault="002261FD" w:rsidP="000E2AC8">
      <w:pPr>
        <w:spacing w:after="0" w:line="240" w:lineRule="auto"/>
        <w:ind w:firstLine="113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2D8C" w:rsidRPr="002261FD" w:rsidRDefault="00C62D8C" w:rsidP="000E2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61FD">
        <w:rPr>
          <w:rFonts w:ascii="Times New Roman" w:hAnsi="Times New Roman" w:cs="Times New Roman"/>
          <w:b/>
          <w:sz w:val="28"/>
          <w:szCs w:val="28"/>
          <w:lang w:val="uk-UA"/>
        </w:rPr>
        <w:t>ОПИС</w:t>
      </w:r>
    </w:p>
    <w:p w:rsidR="005C7C71" w:rsidRPr="002261FD" w:rsidRDefault="00C62D8C" w:rsidP="000E2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61FD">
        <w:rPr>
          <w:rFonts w:ascii="Times New Roman" w:hAnsi="Times New Roman" w:cs="Times New Roman"/>
          <w:b/>
          <w:sz w:val="28"/>
          <w:szCs w:val="28"/>
          <w:lang w:val="uk-UA"/>
        </w:rPr>
        <w:t>ідентифікованих корупційних ризиків у діяльності Чернівецької обласної ради, чинники корупційних ризиків та можливі наслідки корупційного правопорушення чи правопорушення, пов’язаного з корупцією</w:t>
      </w:r>
    </w:p>
    <w:p w:rsidR="001B0032" w:rsidRDefault="001B0032" w:rsidP="000E2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876" w:type="dxa"/>
        <w:tblInd w:w="-1026" w:type="dxa"/>
        <w:tblLayout w:type="fixed"/>
        <w:tblLook w:val="04A0"/>
      </w:tblPr>
      <w:tblGrid>
        <w:gridCol w:w="567"/>
        <w:gridCol w:w="3404"/>
        <w:gridCol w:w="3827"/>
        <w:gridCol w:w="25"/>
        <w:gridCol w:w="6"/>
        <w:gridCol w:w="3068"/>
        <w:gridCol w:w="18"/>
        <w:gridCol w:w="4771"/>
        <w:gridCol w:w="136"/>
        <w:gridCol w:w="54"/>
      </w:tblGrid>
      <w:tr w:rsidR="006035F5" w:rsidRPr="002261FD" w:rsidTr="00DA582C">
        <w:trPr>
          <w:gridAfter w:val="2"/>
          <w:wAfter w:w="190" w:type="dxa"/>
          <w:trHeight w:val="1603"/>
        </w:trPr>
        <w:tc>
          <w:tcPr>
            <w:tcW w:w="567" w:type="dxa"/>
            <w:vAlign w:val="center"/>
          </w:tcPr>
          <w:p w:rsidR="00C62D8C" w:rsidRPr="002261FD" w:rsidRDefault="00C62D8C" w:rsidP="007944C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</w:t>
            </w:r>
          </w:p>
          <w:p w:rsidR="00C62D8C" w:rsidRPr="002261FD" w:rsidRDefault="00C62D8C" w:rsidP="000E2A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404" w:type="dxa"/>
            <w:vAlign w:val="center"/>
          </w:tcPr>
          <w:p w:rsidR="00C62D8C" w:rsidRPr="002261FD" w:rsidRDefault="00C62D8C" w:rsidP="007944C3">
            <w:pPr>
              <w:ind w:left="-108" w:right="-141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Ідентифікований корупційний ризик</w:t>
            </w:r>
          </w:p>
        </w:tc>
        <w:tc>
          <w:tcPr>
            <w:tcW w:w="3827" w:type="dxa"/>
            <w:vAlign w:val="center"/>
          </w:tcPr>
          <w:p w:rsidR="00C62D8C" w:rsidRPr="002261FD" w:rsidRDefault="00C62D8C" w:rsidP="007944C3">
            <w:pPr>
              <w:ind w:left="-108" w:right="-141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Опис ідентифікованого корупційного ризику</w:t>
            </w:r>
          </w:p>
        </w:tc>
        <w:tc>
          <w:tcPr>
            <w:tcW w:w="3099" w:type="dxa"/>
            <w:gridSpan w:val="3"/>
            <w:vAlign w:val="center"/>
          </w:tcPr>
          <w:p w:rsidR="00C62D8C" w:rsidRPr="002261FD" w:rsidRDefault="00C62D8C" w:rsidP="007944C3">
            <w:pPr>
              <w:ind w:left="-108" w:right="-141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Чинники корупційного ризику</w:t>
            </w:r>
          </w:p>
        </w:tc>
        <w:tc>
          <w:tcPr>
            <w:tcW w:w="4789" w:type="dxa"/>
            <w:gridSpan w:val="2"/>
            <w:vAlign w:val="center"/>
          </w:tcPr>
          <w:p w:rsidR="00C62D8C" w:rsidRPr="002261FD" w:rsidRDefault="00C62D8C" w:rsidP="007944C3">
            <w:pPr>
              <w:ind w:left="-108" w:right="-141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Можливі наслідки корупційного правопорушення чи правопорушення, пов’язаного з корупцією</w:t>
            </w:r>
          </w:p>
        </w:tc>
      </w:tr>
      <w:tr w:rsidR="005E3579" w:rsidRPr="002261FD" w:rsidTr="00DA582C">
        <w:trPr>
          <w:gridAfter w:val="2"/>
          <w:wAfter w:w="190" w:type="dxa"/>
          <w:trHeight w:val="2518"/>
        </w:trPr>
        <w:tc>
          <w:tcPr>
            <w:tcW w:w="567" w:type="dxa"/>
            <w:vAlign w:val="center"/>
          </w:tcPr>
          <w:p w:rsidR="005E3579" w:rsidRPr="005637B6" w:rsidRDefault="005E3579" w:rsidP="007944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404" w:type="dxa"/>
            <w:vAlign w:val="center"/>
          </w:tcPr>
          <w:p w:rsidR="005E3579" w:rsidRPr="005E3579" w:rsidRDefault="005E3579" w:rsidP="005637B6">
            <w:pPr>
              <w:pStyle w:val="a8"/>
              <w:tabs>
                <w:tab w:val="left" w:pos="317"/>
              </w:tabs>
              <w:ind w:left="33" w:right="-108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Вплив на депутатів ради з метою прийняття рішення обласної ради</w:t>
            </w:r>
          </w:p>
        </w:tc>
        <w:tc>
          <w:tcPr>
            <w:tcW w:w="3827" w:type="dxa"/>
            <w:vAlign w:val="center"/>
          </w:tcPr>
          <w:p w:rsidR="005E3579" w:rsidRDefault="005E3579" w:rsidP="00A00659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Вплив у будь-який спосіб</w:t>
            </w:r>
          </w:p>
          <w:p w:rsidR="005E3579" w:rsidRDefault="005E3579" w:rsidP="00A00659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(у тому числі шляхом надання матеріальної або іншої вигоди)</w:t>
            </w:r>
          </w:p>
          <w:p w:rsidR="005E3579" w:rsidRPr="002261FD" w:rsidRDefault="005E3579" w:rsidP="00A00659">
            <w:pPr>
              <w:ind w:left="34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депутатів обласної ради з метою прийняття необхідного рішення обласної ради</w:t>
            </w:r>
          </w:p>
        </w:tc>
        <w:tc>
          <w:tcPr>
            <w:tcW w:w="3099" w:type="dxa"/>
            <w:gridSpan w:val="3"/>
            <w:vAlign w:val="center"/>
          </w:tcPr>
          <w:p w:rsidR="005E3579" w:rsidRDefault="005E3579" w:rsidP="005570CB">
            <w:pPr>
              <w:ind w:left="-108" w:right="-126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Відсутність процедури врегулювання конфлікту інтересів у регламенті обласної ради, спрямованої</w:t>
            </w:r>
          </w:p>
          <w:p w:rsidR="005E3579" w:rsidRDefault="005E3579" w:rsidP="005570CB">
            <w:pPr>
              <w:ind w:left="-108" w:right="-126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впровадження </w:t>
            </w:r>
          </w:p>
          <w:p w:rsidR="00D50F4E" w:rsidRDefault="005E3579" w:rsidP="00D50F4E">
            <w:pPr>
              <w:ind w:left="-108" w:right="-126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деталізованого Порядку, який забезпечить відсутність конфлікту інтересів п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ід час</w:t>
            </w:r>
          </w:p>
          <w:p w:rsidR="005E3579" w:rsidRPr="002261FD" w:rsidRDefault="00D50F4E" w:rsidP="00D50F4E">
            <w:pPr>
              <w:ind w:left="-108" w:right="-126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</w:t>
            </w:r>
            <w:r w:rsid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рішень</w:t>
            </w:r>
          </w:p>
        </w:tc>
        <w:tc>
          <w:tcPr>
            <w:tcW w:w="4789" w:type="dxa"/>
            <w:gridSpan w:val="2"/>
            <w:vAlign w:val="center"/>
          </w:tcPr>
          <w:p w:rsidR="005E3579" w:rsidRPr="002261FD" w:rsidRDefault="005E3579" w:rsidP="007944C3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Підрив авторитету обласної ради, прийняття необґрунтованого або неправомірного рішення всупереч інтересам територіальних громад, сіл, селищ, мст області, втрата репутації</w:t>
            </w:r>
          </w:p>
        </w:tc>
      </w:tr>
      <w:tr w:rsidR="005E3579" w:rsidRPr="002261FD" w:rsidTr="00DA582C">
        <w:trPr>
          <w:gridAfter w:val="2"/>
          <w:wAfter w:w="190" w:type="dxa"/>
          <w:trHeight w:val="2789"/>
        </w:trPr>
        <w:tc>
          <w:tcPr>
            <w:tcW w:w="567" w:type="dxa"/>
            <w:vAlign w:val="center"/>
          </w:tcPr>
          <w:p w:rsidR="005E3579" w:rsidRPr="005637B6" w:rsidRDefault="005E3579" w:rsidP="007944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3404" w:type="dxa"/>
            <w:vAlign w:val="center"/>
          </w:tcPr>
          <w:p w:rsidR="005E3579" w:rsidRPr="005E3579" w:rsidRDefault="005E3579" w:rsidP="00E61C65">
            <w:pPr>
              <w:tabs>
                <w:tab w:val="left" w:pos="317"/>
              </w:tabs>
              <w:ind w:left="34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Ймовірність внесення на розгляд депутатів </w:t>
            </w:r>
            <w:proofErr w:type="spellStart"/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проєктів</w:t>
            </w:r>
            <w:proofErr w:type="spellEnd"/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рішень обласної ради, що містять дискреційні норми </w:t>
            </w:r>
            <w:proofErr w:type="spellStart"/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корупціогенного</w:t>
            </w:r>
            <w:proofErr w:type="spellEnd"/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характеру</w:t>
            </w:r>
          </w:p>
        </w:tc>
        <w:tc>
          <w:tcPr>
            <w:tcW w:w="3827" w:type="dxa"/>
            <w:vAlign w:val="center"/>
          </w:tcPr>
          <w:p w:rsidR="005E3579" w:rsidRDefault="005E3579" w:rsidP="005570CB">
            <w:pPr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Підготовка та внесення для розгляду на пленарному</w:t>
            </w:r>
          </w:p>
          <w:p w:rsidR="005E3579" w:rsidRPr="002261FD" w:rsidRDefault="005E3579" w:rsidP="005570CB">
            <w:pPr>
              <w:ind w:left="3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засіданні обласної ради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ктів</w:t>
            </w:r>
            <w:proofErr w:type="spellEnd"/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рішень, які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разі їх прийняття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сприятимуть вчиненню корупційних та пов'язаних з корупцією правопорушень</w:t>
            </w:r>
          </w:p>
        </w:tc>
        <w:tc>
          <w:tcPr>
            <w:tcW w:w="3099" w:type="dxa"/>
            <w:gridSpan w:val="3"/>
            <w:vAlign w:val="center"/>
          </w:tcPr>
          <w:p w:rsidR="005E3579" w:rsidRPr="002261FD" w:rsidRDefault="005E3579" w:rsidP="005570CB">
            <w:pPr>
              <w:ind w:left="-108" w:right="-126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Відсутність дода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ткового механізму перегляду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ктів</w:t>
            </w:r>
            <w:proofErr w:type="spellEnd"/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рішень на наявність дискреційних та </w:t>
            </w:r>
            <w:proofErr w:type="spellStart"/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корупціогенних</w:t>
            </w:r>
            <w:proofErr w:type="spellEnd"/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норм</w:t>
            </w:r>
          </w:p>
        </w:tc>
        <w:tc>
          <w:tcPr>
            <w:tcW w:w="4789" w:type="dxa"/>
            <w:gridSpan w:val="2"/>
            <w:vAlign w:val="center"/>
          </w:tcPr>
          <w:p w:rsidR="005E3579" w:rsidRPr="002261FD" w:rsidRDefault="005E3579" w:rsidP="007944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Порушення законодавства, втрата репутації обласної ради, судові процеси проти обласної ради</w:t>
            </w:r>
          </w:p>
        </w:tc>
      </w:tr>
      <w:tr w:rsidR="005E3579" w:rsidRPr="002261FD" w:rsidTr="005637B6">
        <w:trPr>
          <w:gridAfter w:val="2"/>
          <w:wAfter w:w="190" w:type="dxa"/>
          <w:trHeight w:val="2541"/>
        </w:trPr>
        <w:tc>
          <w:tcPr>
            <w:tcW w:w="567" w:type="dxa"/>
            <w:vAlign w:val="center"/>
          </w:tcPr>
          <w:p w:rsidR="005E3579" w:rsidRPr="005637B6" w:rsidRDefault="005E3579" w:rsidP="007944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3.</w:t>
            </w:r>
          </w:p>
        </w:tc>
        <w:tc>
          <w:tcPr>
            <w:tcW w:w="3404" w:type="dxa"/>
            <w:vAlign w:val="center"/>
          </w:tcPr>
          <w:p w:rsidR="005E3579" w:rsidRPr="005637B6" w:rsidRDefault="005E3579" w:rsidP="005637B6">
            <w:pPr>
              <w:tabs>
                <w:tab w:val="left" w:pos="317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Особистий інтерес посадової особи виконавчого апарату Чернівецької обласної ради, що бере участь в конкурсній комісії</w:t>
            </w:r>
          </w:p>
        </w:tc>
        <w:tc>
          <w:tcPr>
            <w:tcW w:w="3827" w:type="dxa"/>
            <w:vAlign w:val="center"/>
          </w:tcPr>
          <w:p w:rsidR="005E3579" w:rsidRPr="002261FD" w:rsidRDefault="005E3579" w:rsidP="005637B6">
            <w:pPr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Участь посадової особи виконавчого апарату Чернівецької обласної ради у прийнятті рішення конкурсної комісії, яка має (може мати) особистий інтерес</w:t>
            </w:r>
          </w:p>
        </w:tc>
        <w:tc>
          <w:tcPr>
            <w:tcW w:w="3099" w:type="dxa"/>
            <w:gridSpan w:val="3"/>
            <w:vAlign w:val="center"/>
          </w:tcPr>
          <w:p w:rsidR="005E3579" w:rsidRPr="002261FD" w:rsidRDefault="005E3579" w:rsidP="005570CB">
            <w:pPr>
              <w:ind w:left="-108" w:right="-126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риватний інтерес, відсутність процедури розкриття інформації про конфлікт інтересів член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ам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конкурсної комісії</w:t>
            </w:r>
          </w:p>
        </w:tc>
        <w:tc>
          <w:tcPr>
            <w:tcW w:w="4789" w:type="dxa"/>
            <w:gridSpan w:val="2"/>
            <w:vAlign w:val="center"/>
          </w:tcPr>
          <w:p w:rsidR="005E3579" w:rsidRPr="002261FD" w:rsidRDefault="005E3579" w:rsidP="007944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Прийняття рішення в умовах реального чи потенційного конфлікту інтересів, вчинення корупційного правопорушення чи правопорушення, пов’язаного з корупцією, підрив авторитету обласної ради, судові процеси</w:t>
            </w:r>
          </w:p>
        </w:tc>
      </w:tr>
      <w:tr w:rsidR="005E3579" w:rsidRPr="002261FD" w:rsidTr="00DA582C">
        <w:trPr>
          <w:gridAfter w:val="2"/>
          <w:wAfter w:w="190" w:type="dxa"/>
          <w:trHeight w:val="3669"/>
        </w:trPr>
        <w:tc>
          <w:tcPr>
            <w:tcW w:w="567" w:type="dxa"/>
            <w:vAlign w:val="center"/>
          </w:tcPr>
          <w:p w:rsidR="005E3579" w:rsidRPr="005637B6" w:rsidRDefault="005E3579" w:rsidP="007944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3404" w:type="dxa"/>
            <w:vAlign w:val="center"/>
          </w:tcPr>
          <w:p w:rsidR="005637B6" w:rsidRPr="005E3579" w:rsidRDefault="005E3579" w:rsidP="005637B6">
            <w:pPr>
              <w:tabs>
                <w:tab w:val="left" w:pos="0"/>
              </w:tabs>
              <w:ind w:left="34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Особистий інтерес посадової особи виконавчого апарату Чернівецької обласної ради під час роботи зі службовими документами, у зв’язку з чим відповідна інформація може бути передана третім особам</w:t>
            </w:r>
          </w:p>
        </w:tc>
        <w:tc>
          <w:tcPr>
            <w:tcW w:w="3827" w:type="dxa"/>
            <w:vAlign w:val="center"/>
          </w:tcPr>
          <w:p w:rsidR="005E3579" w:rsidRDefault="005E3579" w:rsidP="007944C3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Поширення службової інформації третім особам посадовою особою виконавчого апарату Чернівецької обласної ради, яка має (може мати)</w:t>
            </w:r>
          </w:p>
          <w:p w:rsidR="005E3579" w:rsidRPr="002261FD" w:rsidRDefault="005E3579" w:rsidP="007944C3">
            <w:pPr>
              <w:ind w:left="34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особистий інтерес</w:t>
            </w:r>
          </w:p>
        </w:tc>
        <w:tc>
          <w:tcPr>
            <w:tcW w:w="3099" w:type="dxa"/>
            <w:gridSpan w:val="3"/>
            <w:vAlign w:val="center"/>
          </w:tcPr>
          <w:p w:rsidR="005E3579" w:rsidRDefault="005E3579" w:rsidP="004025B2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Порушення норм етики, непорядність та особиста вигода посадової особи виконавчого апарату </w:t>
            </w:r>
          </w:p>
          <w:p w:rsidR="005E3579" w:rsidRPr="002261FD" w:rsidRDefault="005E3579" w:rsidP="004025B2">
            <w:pPr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Чернівецької обласної ради, слабкий механізм контролю</w:t>
            </w:r>
          </w:p>
        </w:tc>
        <w:tc>
          <w:tcPr>
            <w:tcW w:w="4789" w:type="dxa"/>
            <w:gridSpan w:val="2"/>
            <w:vAlign w:val="center"/>
          </w:tcPr>
          <w:p w:rsidR="005E3579" w:rsidRPr="002261FD" w:rsidRDefault="005E3579" w:rsidP="007944C3">
            <w:pPr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Підрив авторитету обласної ради, можливість вчинення корупційного правопорушення чи правопорушення, пов’язаного з корупцією, притягнення особи до відповідальності</w:t>
            </w:r>
          </w:p>
        </w:tc>
      </w:tr>
      <w:tr w:rsidR="005E3579" w:rsidRPr="002261FD" w:rsidTr="005637B6">
        <w:trPr>
          <w:gridAfter w:val="2"/>
          <w:wAfter w:w="190" w:type="dxa"/>
        </w:trPr>
        <w:tc>
          <w:tcPr>
            <w:tcW w:w="567" w:type="dxa"/>
            <w:vAlign w:val="center"/>
          </w:tcPr>
          <w:p w:rsidR="005E3579" w:rsidRPr="005637B6" w:rsidRDefault="005E3579" w:rsidP="007944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3404" w:type="dxa"/>
            <w:vAlign w:val="center"/>
          </w:tcPr>
          <w:p w:rsidR="005637B6" w:rsidRDefault="005E3579" w:rsidP="005637B6">
            <w:pPr>
              <w:tabs>
                <w:tab w:val="left" w:pos="317"/>
              </w:tabs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Ймовірність впливу зацікавлених осіб на представників обласної</w:t>
            </w:r>
          </w:p>
          <w:p w:rsidR="005637B6" w:rsidRPr="005E3579" w:rsidRDefault="005E3579" w:rsidP="005637B6">
            <w:pPr>
              <w:tabs>
                <w:tab w:val="left" w:pos="317"/>
              </w:tabs>
              <w:ind w:left="34" w:right="-108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ради під час підготовки документів для судового розгляду або безпосереднього представництва інтересів обласної ради у судовому процесі</w:t>
            </w:r>
          </w:p>
        </w:tc>
        <w:tc>
          <w:tcPr>
            <w:tcW w:w="3827" w:type="dxa"/>
            <w:vAlign w:val="center"/>
          </w:tcPr>
          <w:p w:rsidR="005E3579" w:rsidRDefault="005E3579" w:rsidP="007944C3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Можливість впливу </w:t>
            </w:r>
          </w:p>
          <w:p w:rsidR="005E3579" w:rsidRDefault="005E3579" w:rsidP="007944C3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зацікавлених посадових або </w:t>
            </w:r>
          </w:p>
          <w:p w:rsidR="005E3579" w:rsidRDefault="005E3579" w:rsidP="007944C3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інших осіб у будь-який спосіб </w:t>
            </w:r>
          </w:p>
          <w:p w:rsidR="005E3579" w:rsidRDefault="005E3579" w:rsidP="007944C3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представників обласної ради </w:t>
            </w:r>
          </w:p>
          <w:p w:rsidR="005E3579" w:rsidRDefault="005E3579" w:rsidP="007944C3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метою неналежного представництва інтересів</w:t>
            </w:r>
          </w:p>
          <w:p w:rsidR="005E3579" w:rsidRPr="002261FD" w:rsidRDefault="005E3579" w:rsidP="005637B6">
            <w:pPr>
              <w:ind w:left="34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обласної ради у судових процесах</w:t>
            </w:r>
          </w:p>
        </w:tc>
        <w:tc>
          <w:tcPr>
            <w:tcW w:w="3099" w:type="dxa"/>
            <w:gridSpan w:val="3"/>
            <w:vAlign w:val="center"/>
          </w:tcPr>
          <w:p w:rsidR="005637B6" w:rsidRDefault="005637B6" w:rsidP="005637B6">
            <w:pPr>
              <w:ind w:left="-108" w:right="-126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637B6" w:rsidRPr="002261FD" w:rsidRDefault="005E3579" w:rsidP="005637B6">
            <w:pPr>
              <w:ind w:left="-108" w:right="-126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Відсутність контролю за діями представників обласної ради, які беруть участь у розгляді судових справ, визначення у довіреностях усього переліку прав учасників процесу відповідного процесуального законодавства</w:t>
            </w:r>
          </w:p>
        </w:tc>
        <w:tc>
          <w:tcPr>
            <w:tcW w:w="4789" w:type="dxa"/>
            <w:gridSpan w:val="2"/>
            <w:vAlign w:val="center"/>
          </w:tcPr>
          <w:p w:rsidR="005E3579" w:rsidRPr="002261FD" w:rsidRDefault="005E3579" w:rsidP="007944C3">
            <w:pPr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Втрата репутації обласної ради, судові процеси проти обласної ради, матеріальні збитки</w:t>
            </w:r>
          </w:p>
        </w:tc>
      </w:tr>
      <w:tr w:rsidR="005E3579" w:rsidRPr="00A00659" w:rsidTr="00DA582C">
        <w:tc>
          <w:tcPr>
            <w:tcW w:w="567" w:type="dxa"/>
            <w:vAlign w:val="center"/>
          </w:tcPr>
          <w:p w:rsidR="005E3579" w:rsidRPr="005637B6" w:rsidRDefault="005E3579" w:rsidP="007944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3404" w:type="dxa"/>
            <w:vAlign w:val="center"/>
          </w:tcPr>
          <w:p w:rsidR="005E3579" w:rsidRPr="005E3579" w:rsidRDefault="005E3579" w:rsidP="005637B6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Встановлення особами, відповідальними за підготовку тендерної документації, дискримінаційних вимог для потенційних учасників торгів</w:t>
            </w:r>
          </w:p>
        </w:tc>
        <w:tc>
          <w:tcPr>
            <w:tcW w:w="3827" w:type="dxa"/>
            <w:vAlign w:val="center"/>
          </w:tcPr>
          <w:p w:rsidR="005E3579" w:rsidRDefault="005E3579" w:rsidP="00A00659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Проведення процедури </w:t>
            </w:r>
          </w:p>
          <w:p w:rsidR="005E3579" w:rsidRDefault="005E3579" w:rsidP="00A00659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закупівлі товарів, робіт, послуг </w:t>
            </w:r>
          </w:p>
          <w:p w:rsidR="005637B6" w:rsidRDefault="005E3579" w:rsidP="005637B6">
            <w:pPr>
              <w:ind w:left="3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урахуванням інтересів певних учасників торгів шляхом встановлення</w:t>
            </w:r>
            <w:r w:rsid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5E3579" w:rsidRPr="002261FD" w:rsidRDefault="005E3579" w:rsidP="005637B6">
            <w:pPr>
              <w:ind w:left="34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дискримінаційних вимог у тендерній документації для потенційних учасників торгів</w:t>
            </w:r>
          </w:p>
        </w:tc>
        <w:tc>
          <w:tcPr>
            <w:tcW w:w="3117" w:type="dxa"/>
            <w:gridSpan w:val="4"/>
            <w:vAlign w:val="center"/>
          </w:tcPr>
          <w:p w:rsidR="005E3579" w:rsidRPr="002261FD" w:rsidRDefault="005E3579" w:rsidP="005637B6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</w:t>
            </w:r>
            <w:r w:rsid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ватний інтерес посадової особи виконавчого апарату Чернівецької обласної ради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щодо надання переваг певним постачальникам товарів, робіт та послуг, недобросовісність виконання посадових обов’язків, порушення норм законодавства</w:t>
            </w:r>
          </w:p>
        </w:tc>
        <w:tc>
          <w:tcPr>
            <w:tcW w:w="4961" w:type="dxa"/>
            <w:gridSpan w:val="3"/>
            <w:vAlign w:val="center"/>
          </w:tcPr>
          <w:p w:rsidR="005E3579" w:rsidRDefault="005E3579" w:rsidP="007944C3">
            <w:pPr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Порушення умов конкуренції серед учасників процедури закупівель, необ’єктивна та упереджена оцінка пропозицій учасників процедури закупівель, порушення вимог Закону України «Про публічні закупівлі», </w:t>
            </w:r>
          </w:p>
          <w:p w:rsidR="005E3579" w:rsidRPr="002261FD" w:rsidRDefault="005E3579" w:rsidP="007944C3">
            <w:pPr>
              <w:ind w:left="3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підрив авторитету обласної ради, судові процеси проти обласної ради, матеріальні збитки</w:t>
            </w:r>
          </w:p>
        </w:tc>
      </w:tr>
      <w:tr w:rsidR="005E3579" w:rsidRPr="002261FD" w:rsidTr="005637B6">
        <w:trPr>
          <w:trHeight w:val="6085"/>
        </w:trPr>
        <w:tc>
          <w:tcPr>
            <w:tcW w:w="567" w:type="dxa"/>
            <w:vAlign w:val="center"/>
          </w:tcPr>
          <w:p w:rsidR="005E3579" w:rsidRPr="005637B6" w:rsidRDefault="005E3579" w:rsidP="002628D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3404" w:type="dxa"/>
            <w:vAlign w:val="center"/>
          </w:tcPr>
          <w:p w:rsidR="005E3579" w:rsidRPr="005E3579" w:rsidRDefault="005E3579" w:rsidP="005637B6">
            <w:pPr>
              <w:tabs>
                <w:tab w:val="left" w:pos="317"/>
              </w:tabs>
              <w:ind w:left="33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Відсутність персональної відповідальності посадових осіб виконавчого апарату Чернівецької обласної ради, які готують </w:t>
            </w:r>
          </w:p>
          <w:p w:rsidR="005E3579" w:rsidRPr="005E3579" w:rsidRDefault="005E3579" w:rsidP="00D50F4E">
            <w:pPr>
              <w:ind w:left="33" w:right="-108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проєкти</w:t>
            </w:r>
            <w:proofErr w:type="spellEnd"/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відповіді на запит на публічну інформацію та/або звернення</w:t>
            </w:r>
          </w:p>
        </w:tc>
        <w:tc>
          <w:tcPr>
            <w:tcW w:w="3858" w:type="dxa"/>
            <w:gridSpan w:val="3"/>
            <w:vAlign w:val="center"/>
          </w:tcPr>
          <w:p w:rsidR="005E3579" w:rsidRPr="002261FD" w:rsidRDefault="005E3579" w:rsidP="00D50F4E">
            <w:pPr>
              <w:ind w:left="3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кт</w:t>
            </w:r>
            <w:proofErr w:type="spellEnd"/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відповіді </w:t>
            </w:r>
            <w:r w:rsid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запит на публічну інформацію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звернення 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готується посадовою особою виконавчого апар</w:t>
            </w:r>
            <w:r w:rsid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ату Чернівецької обласної ради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яка п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ід час</w:t>
            </w:r>
            <w:r w:rsid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здійснення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своїх повноважень</w:t>
            </w:r>
            <w:r w:rsid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має особистий інтерес</w:t>
            </w:r>
          </w:p>
        </w:tc>
        <w:tc>
          <w:tcPr>
            <w:tcW w:w="3086" w:type="dxa"/>
            <w:gridSpan w:val="2"/>
            <w:vAlign w:val="center"/>
          </w:tcPr>
          <w:p w:rsidR="005E3579" w:rsidRDefault="005E3579" w:rsidP="005570CB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Відсутність авторизованої системи реєстрації та опрацювання документів </w:t>
            </w:r>
          </w:p>
          <w:p w:rsidR="005E3579" w:rsidRDefault="005E3579" w:rsidP="005570CB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виконавчому апараті Чернівецької обласної ради</w:t>
            </w:r>
          </w:p>
          <w:p w:rsidR="005E3579" w:rsidRDefault="005E3579" w:rsidP="005570CB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E3579" w:rsidRDefault="005E3579" w:rsidP="005570CB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Відсутність повідомлення працівників про персональну відповідальність за якість, своєчасність та достовірність відповіді на запити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та/або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звернення</w:t>
            </w:r>
          </w:p>
          <w:p w:rsidR="005E3579" w:rsidRDefault="005E3579" w:rsidP="005570CB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E3579" w:rsidRPr="002261FD" w:rsidRDefault="00D50F4E" w:rsidP="005570C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</w:t>
            </w:r>
            <w:r w:rsid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достатній контроль з боку керівництва обласної ради за опрацюванням запитів (в частині повноти та достовірності даних, які у ній зазначені)</w:t>
            </w:r>
          </w:p>
        </w:tc>
        <w:tc>
          <w:tcPr>
            <w:tcW w:w="4961" w:type="dxa"/>
            <w:gridSpan w:val="3"/>
            <w:vAlign w:val="center"/>
          </w:tcPr>
          <w:p w:rsidR="005E3579" w:rsidRPr="002261FD" w:rsidRDefault="005E3579" w:rsidP="002628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Фінансові втрати, підрив авторитету обласної ради, судові процеси, притягнення особи до відповідальності</w:t>
            </w:r>
          </w:p>
        </w:tc>
      </w:tr>
      <w:tr w:rsidR="005E3579" w:rsidRPr="002261FD" w:rsidTr="00DA582C">
        <w:trPr>
          <w:trHeight w:val="608"/>
        </w:trPr>
        <w:tc>
          <w:tcPr>
            <w:tcW w:w="567" w:type="dxa"/>
            <w:vAlign w:val="center"/>
          </w:tcPr>
          <w:p w:rsidR="005E3579" w:rsidRPr="005637B6" w:rsidRDefault="005E3579" w:rsidP="002628D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3404" w:type="dxa"/>
            <w:vAlign w:val="center"/>
          </w:tcPr>
          <w:p w:rsidR="005E3579" w:rsidRPr="005E3579" w:rsidRDefault="005E3579" w:rsidP="005637B6">
            <w:pPr>
              <w:pStyle w:val="a8"/>
              <w:tabs>
                <w:tab w:val="left" w:pos="-108"/>
                <w:tab w:val="left" w:pos="317"/>
              </w:tabs>
              <w:ind w:left="33" w:right="-108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Відсутність врегульованої процедури</w:t>
            </w:r>
            <w:r w:rsid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розгляду заяв, звернень громадян та юридичних осіб депутатами обласної ради, головами постійних комісій обласної ради, посадовими особами виконавчого апарату Чернівецької обласної ради</w:t>
            </w:r>
          </w:p>
        </w:tc>
        <w:tc>
          <w:tcPr>
            <w:tcW w:w="3858" w:type="dxa"/>
            <w:gridSpan w:val="3"/>
            <w:vAlign w:val="center"/>
          </w:tcPr>
          <w:p w:rsidR="005E3579" w:rsidRPr="002261FD" w:rsidRDefault="005E3579" w:rsidP="002628D5">
            <w:pPr>
              <w:ind w:left="34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Відсутність врегульованої процедури 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 час розгляду заяв, звернень громадян та юридичних осіб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під час виконання своїх повноважень</w:t>
            </w:r>
          </w:p>
        </w:tc>
        <w:tc>
          <w:tcPr>
            <w:tcW w:w="3086" w:type="dxa"/>
            <w:gridSpan w:val="2"/>
            <w:vAlign w:val="center"/>
          </w:tcPr>
          <w:p w:rsidR="005E3579" w:rsidRDefault="005E3579" w:rsidP="005570CB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Порушення норм етики, слабкий механізм контролю, особиста зацікавленість до </w:t>
            </w:r>
          </w:p>
          <w:p w:rsidR="005637B6" w:rsidRDefault="005E3579" w:rsidP="004025B2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депутат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ів 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обласної ради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гол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постійних комісій обласної ради,</w:t>
            </w:r>
            <w:r w:rsid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посадов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их осіб 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виконавчого апарату Чернівецької обласної </w:t>
            </w:r>
          </w:p>
          <w:p w:rsidR="005E3579" w:rsidRPr="002261FD" w:rsidRDefault="005E3579" w:rsidP="004025B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ради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які мають приватний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інтерес</w:t>
            </w:r>
          </w:p>
        </w:tc>
        <w:tc>
          <w:tcPr>
            <w:tcW w:w="4961" w:type="dxa"/>
            <w:gridSpan w:val="3"/>
            <w:vAlign w:val="center"/>
          </w:tcPr>
          <w:p w:rsidR="005E3579" w:rsidRPr="002261FD" w:rsidRDefault="005E3579" w:rsidP="002628D5">
            <w:pPr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Неправомірне збагачення, фінансові втрати, підрив авторитету обласної ради, судові процеси, притягнення особи до відповідальності</w:t>
            </w:r>
          </w:p>
        </w:tc>
      </w:tr>
      <w:tr w:rsidR="005E3579" w:rsidRPr="002261FD" w:rsidTr="00DA582C">
        <w:trPr>
          <w:trHeight w:val="3685"/>
        </w:trPr>
        <w:tc>
          <w:tcPr>
            <w:tcW w:w="567" w:type="dxa"/>
            <w:vAlign w:val="center"/>
          </w:tcPr>
          <w:p w:rsidR="005E3579" w:rsidRPr="005637B6" w:rsidRDefault="005E3579" w:rsidP="002628D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3404" w:type="dxa"/>
            <w:vAlign w:val="center"/>
          </w:tcPr>
          <w:p w:rsidR="005E3579" w:rsidRPr="005E3579" w:rsidRDefault="005E3579" w:rsidP="005637B6">
            <w:pPr>
              <w:pStyle w:val="a8"/>
              <w:tabs>
                <w:tab w:val="left" w:pos="175"/>
                <w:tab w:val="left" w:pos="317"/>
              </w:tabs>
              <w:ind w:left="34" w:right="-108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Зниження рівня відповідальності особи у зв’язку з наступним звільненням з посади</w:t>
            </w:r>
          </w:p>
        </w:tc>
        <w:tc>
          <w:tcPr>
            <w:tcW w:w="3858" w:type="dxa"/>
            <w:gridSpan w:val="3"/>
            <w:vAlign w:val="center"/>
          </w:tcPr>
          <w:p w:rsidR="005E3579" w:rsidRPr="002261FD" w:rsidRDefault="005E3579" w:rsidP="002628D5">
            <w:pPr>
              <w:ind w:left="34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Недотримання відповідною особою, що звільняється, виконавської дисципліни, зниження відповідальності за збереження матеріальних цінностей</w:t>
            </w:r>
          </w:p>
        </w:tc>
        <w:tc>
          <w:tcPr>
            <w:tcW w:w="3086" w:type="dxa"/>
            <w:gridSpan w:val="2"/>
            <w:vAlign w:val="center"/>
          </w:tcPr>
          <w:p w:rsidR="005E3579" w:rsidRDefault="005E3579" w:rsidP="005570CB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Невстановлення</w:t>
            </w:r>
            <w:proofErr w:type="spellEnd"/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контролю (або недостатній </w:t>
            </w:r>
          </w:p>
          <w:p w:rsidR="005E3579" w:rsidRDefault="005E3579" w:rsidP="005570CB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контроль) за виконанням повноважень особами, які звільняються з посад у органі місцевого самоврядування, відсутність мотивації для належного виконання </w:t>
            </w:r>
          </w:p>
          <w:p w:rsidR="005E3579" w:rsidRPr="002261FD" w:rsidRDefault="005E3579" w:rsidP="005570C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своїх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посадових обов'язків у зв'язку з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наступним звільненням</w:t>
            </w:r>
          </w:p>
        </w:tc>
        <w:tc>
          <w:tcPr>
            <w:tcW w:w="4961" w:type="dxa"/>
            <w:gridSpan w:val="3"/>
            <w:vAlign w:val="center"/>
          </w:tcPr>
          <w:p w:rsidR="005E3579" w:rsidRPr="002261FD" w:rsidRDefault="005E3579" w:rsidP="002628D5">
            <w:pPr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Порушення законодавства, втрата репутації обласної ради, судові процеси проти обласної ради, матеріальні збитки</w:t>
            </w:r>
          </w:p>
        </w:tc>
      </w:tr>
      <w:tr w:rsidR="005E3579" w:rsidRPr="00126A57" w:rsidTr="00DA582C">
        <w:trPr>
          <w:trHeight w:val="2342"/>
        </w:trPr>
        <w:tc>
          <w:tcPr>
            <w:tcW w:w="567" w:type="dxa"/>
            <w:vAlign w:val="center"/>
          </w:tcPr>
          <w:p w:rsidR="005E3579" w:rsidRPr="005637B6" w:rsidRDefault="005E3579" w:rsidP="002628D5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3404" w:type="dxa"/>
            <w:vAlign w:val="center"/>
          </w:tcPr>
          <w:p w:rsidR="005E3579" w:rsidRPr="005E3579" w:rsidRDefault="005E3579" w:rsidP="005637B6">
            <w:pPr>
              <w:pStyle w:val="a8"/>
              <w:tabs>
                <w:tab w:val="left" w:pos="317"/>
              </w:tabs>
              <w:ind w:left="33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Порушення термінів оприлюднення рішень обласної ради на офіційному </w:t>
            </w:r>
            <w:proofErr w:type="spellStart"/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вебсайті</w:t>
            </w:r>
            <w:proofErr w:type="spellEnd"/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посадовими особами виконавчого апарату Чернівецької обласної ради</w:t>
            </w:r>
          </w:p>
        </w:tc>
        <w:tc>
          <w:tcPr>
            <w:tcW w:w="3858" w:type="dxa"/>
            <w:gridSpan w:val="3"/>
            <w:vAlign w:val="center"/>
          </w:tcPr>
          <w:p w:rsidR="005E3579" w:rsidRPr="002261FD" w:rsidRDefault="005E3579" w:rsidP="002628D5">
            <w:pPr>
              <w:ind w:left="34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Порушення передбачених нормативними актами строків оприлюднення рішень,прийнятих обласною радою</w:t>
            </w:r>
          </w:p>
        </w:tc>
        <w:tc>
          <w:tcPr>
            <w:tcW w:w="3086" w:type="dxa"/>
            <w:gridSpan w:val="2"/>
            <w:vAlign w:val="center"/>
          </w:tcPr>
          <w:p w:rsidR="005E3579" w:rsidRPr="002261FD" w:rsidRDefault="005E3579" w:rsidP="005570C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Вимога інших осіб,зацікавлених в затримці оприлюднення окремих матеріалів, конфлікт інтересів, особиста матеріальна вигода</w:t>
            </w:r>
          </w:p>
        </w:tc>
        <w:tc>
          <w:tcPr>
            <w:tcW w:w="4961" w:type="dxa"/>
            <w:gridSpan w:val="3"/>
            <w:vAlign w:val="center"/>
          </w:tcPr>
          <w:p w:rsidR="005E3579" w:rsidRPr="002261FD" w:rsidRDefault="005E3579" w:rsidP="00D50F4E">
            <w:pPr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Порушення етичних, професійних та моральних принципів посадової особи місцевого самоврядування,притягнення посадови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 осіб до адміністративної або 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дисциплінарної відповідальності</w:t>
            </w:r>
          </w:p>
        </w:tc>
      </w:tr>
      <w:tr w:rsidR="005E3579" w:rsidRPr="00126A57" w:rsidTr="00DA582C">
        <w:tblPrEx>
          <w:tblLook w:val="0000"/>
        </w:tblPrEx>
        <w:trPr>
          <w:gridAfter w:val="1"/>
          <w:wAfter w:w="54" w:type="dxa"/>
          <w:trHeight w:val="1502"/>
        </w:trPr>
        <w:tc>
          <w:tcPr>
            <w:tcW w:w="567" w:type="dxa"/>
            <w:vAlign w:val="center"/>
          </w:tcPr>
          <w:p w:rsidR="005E3579" w:rsidRPr="005637B6" w:rsidRDefault="005E3579" w:rsidP="001E0C12">
            <w:pPr>
              <w:tabs>
                <w:tab w:val="left" w:pos="8280"/>
              </w:tabs>
              <w:ind w:right="-10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  <w:p w:rsidR="005E3579" w:rsidRPr="005637B6" w:rsidRDefault="005E3579" w:rsidP="001E0C12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4" w:type="dxa"/>
            <w:vAlign w:val="center"/>
          </w:tcPr>
          <w:p w:rsidR="005E3579" w:rsidRPr="005637B6" w:rsidRDefault="005E3579" w:rsidP="005637B6">
            <w:pPr>
              <w:tabs>
                <w:tab w:val="left" w:pos="-108"/>
                <w:tab w:val="left" w:pos="33"/>
                <w:tab w:val="left" w:pos="175"/>
                <w:tab w:val="left" w:pos="317"/>
              </w:tabs>
              <w:ind w:left="3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Відсутність врегульованої процедури опрацювання повідомлень осіб, які надають допомогу в запобіганні і протидії корупції (викривачів)</w:t>
            </w:r>
          </w:p>
        </w:tc>
        <w:tc>
          <w:tcPr>
            <w:tcW w:w="3852" w:type="dxa"/>
            <w:gridSpan w:val="2"/>
            <w:vAlign w:val="center"/>
          </w:tcPr>
          <w:p w:rsidR="005E3579" w:rsidRPr="00A302A9" w:rsidRDefault="005E3579" w:rsidP="00A302A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30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Неврегульованість процедури щодо</w:t>
            </w:r>
            <w:r w:rsidRPr="00A302A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A30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опра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цювання повідомлень про корупцію</w:t>
            </w:r>
            <w:r w:rsidRPr="00A30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може сприяти неефективному розгляду таких повідомлень, спонукати посадових осіб обласної ради до приховування, знищення повідомлень, передачі неналежним виконавцям з метою затягування його розгляду</w:t>
            </w:r>
          </w:p>
        </w:tc>
        <w:tc>
          <w:tcPr>
            <w:tcW w:w="3092" w:type="dxa"/>
            <w:gridSpan w:val="3"/>
            <w:vAlign w:val="center"/>
          </w:tcPr>
          <w:p w:rsidR="005E3579" w:rsidRPr="00A302A9" w:rsidRDefault="005E3579" w:rsidP="005570CB">
            <w:pPr>
              <w:tabs>
                <w:tab w:val="left" w:pos="8280"/>
              </w:tabs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30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Відсутність внутрішнього механізму обробки повідомлень про корупцію</w:t>
            </w:r>
          </w:p>
        </w:tc>
        <w:tc>
          <w:tcPr>
            <w:tcW w:w="4907" w:type="dxa"/>
            <w:gridSpan w:val="2"/>
            <w:vAlign w:val="center"/>
          </w:tcPr>
          <w:p w:rsidR="005E3579" w:rsidRDefault="005E3579" w:rsidP="00A302A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трата репутації обласної ради,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уникнення відповідальності посадових осіб, винних у вчиненні корупційних або пов’язаних з корупцією правопорушень</w:t>
            </w:r>
          </w:p>
          <w:p w:rsidR="005E3579" w:rsidRDefault="005E3579" w:rsidP="00A302A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E3579" w:rsidRPr="00126A57" w:rsidTr="00DA582C">
        <w:tblPrEx>
          <w:tblLook w:val="0000"/>
        </w:tblPrEx>
        <w:trPr>
          <w:gridAfter w:val="1"/>
          <w:wAfter w:w="54" w:type="dxa"/>
          <w:trHeight w:val="1964"/>
        </w:trPr>
        <w:tc>
          <w:tcPr>
            <w:tcW w:w="567" w:type="dxa"/>
            <w:vAlign w:val="center"/>
          </w:tcPr>
          <w:p w:rsidR="005E3579" w:rsidRPr="005637B6" w:rsidRDefault="005E3579" w:rsidP="001E0C12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3404" w:type="dxa"/>
            <w:vAlign w:val="center"/>
          </w:tcPr>
          <w:p w:rsidR="005E3579" w:rsidRPr="005E3579" w:rsidRDefault="005E3579" w:rsidP="005637B6">
            <w:pPr>
              <w:pStyle w:val="a8"/>
              <w:tabs>
                <w:tab w:val="left" w:pos="317"/>
              </w:tabs>
              <w:ind w:left="33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Відсутність оприлюднення на офіційному </w:t>
            </w:r>
            <w:proofErr w:type="spellStart"/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вебсайті</w:t>
            </w:r>
            <w:proofErr w:type="spellEnd"/>
            <w:r w:rsidRPr="005E35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вичерпної інформації про</w:t>
            </w:r>
          </w:p>
          <w:p w:rsidR="005E3579" w:rsidRPr="005E3579" w:rsidRDefault="005E3579" w:rsidP="005637B6">
            <w:pPr>
              <w:ind w:left="3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35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об’єкти спільної власності територіальних громад сіл,</w:t>
            </w:r>
          </w:p>
          <w:p w:rsidR="005E3579" w:rsidRPr="005E3579" w:rsidRDefault="005E3579" w:rsidP="005637B6">
            <w:pPr>
              <w:ind w:left="33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E35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селищ, міст Чернівецької області</w:t>
            </w:r>
            <w:r w:rsidR="00D50F4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  <w:r w:rsidRPr="005E35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які можуть бути передані в оренду (адреса, площа, вартість,строки) та на яких умовах</w:t>
            </w:r>
          </w:p>
        </w:tc>
        <w:tc>
          <w:tcPr>
            <w:tcW w:w="3852" w:type="dxa"/>
            <w:gridSpan w:val="2"/>
            <w:vAlign w:val="center"/>
          </w:tcPr>
          <w:p w:rsidR="005E3579" w:rsidRDefault="005E3579" w:rsidP="001B00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Відсутність врегульованої процедури та визначеного конкретного часу </w:t>
            </w:r>
            <w:r w:rsidRPr="009A0D7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оприлюднення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інформації</w:t>
            </w:r>
            <w:r w:rsidRPr="009A0D7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офіційному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вебсайті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обласної ради</w:t>
            </w:r>
          </w:p>
        </w:tc>
        <w:tc>
          <w:tcPr>
            <w:tcW w:w="3092" w:type="dxa"/>
            <w:gridSpan w:val="3"/>
            <w:vAlign w:val="center"/>
          </w:tcPr>
          <w:p w:rsidR="005E3579" w:rsidRDefault="005E3579" w:rsidP="005570CB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Відсутність механізму контролю за виконанням вимог ст. 10-1 та ст. 15 Закону України «Про доступ до публічної інформації»</w:t>
            </w:r>
          </w:p>
          <w:p w:rsidR="005E3579" w:rsidRDefault="005E3579" w:rsidP="005570CB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E3579" w:rsidRDefault="005E3579" w:rsidP="005570CB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Вимога інших осіб,зацікавлених в затримці оприлюднення окремих матеріалів, конфлікт інтересів, особиста матеріальна вигода</w:t>
            </w:r>
          </w:p>
          <w:p w:rsidR="005E3579" w:rsidRDefault="005E3579" w:rsidP="005570CB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E3579" w:rsidRDefault="005E3579" w:rsidP="005570CB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Відсутність єдиної електронної бази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об’єктів</w:t>
            </w:r>
            <w:r w:rsidRPr="009A0D7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спільної власності</w:t>
            </w:r>
            <w:r w:rsidRPr="009A0D7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територіальних громад </w:t>
            </w:r>
            <w:r w:rsidRPr="009A0D7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сіл,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A0D7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селищ, міст Чернівецької області</w:t>
            </w:r>
          </w:p>
        </w:tc>
        <w:tc>
          <w:tcPr>
            <w:tcW w:w="4907" w:type="dxa"/>
            <w:gridSpan w:val="2"/>
            <w:vAlign w:val="center"/>
          </w:tcPr>
          <w:p w:rsidR="005E3579" w:rsidRPr="001B0032" w:rsidRDefault="005E3579" w:rsidP="001B00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00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Можливість вчинення </w:t>
            </w:r>
            <w:r w:rsidRPr="001B003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корупційних або пов’язаних з корупцією правопорушень, втрата репутації обласної ради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притягнення до відповідальності особи</w:t>
            </w:r>
          </w:p>
        </w:tc>
      </w:tr>
      <w:tr w:rsidR="005E3579" w:rsidRPr="001B0032" w:rsidTr="002121EB">
        <w:trPr>
          <w:gridAfter w:val="1"/>
          <w:wAfter w:w="54" w:type="dxa"/>
          <w:trHeight w:val="1964"/>
        </w:trPr>
        <w:tc>
          <w:tcPr>
            <w:tcW w:w="567" w:type="dxa"/>
            <w:vAlign w:val="center"/>
          </w:tcPr>
          <w:p w:rsidR="005E3579" w:rsidRPr="005637B6" w:rsidRDefault="005E3579" w:rsidP="002121EB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3404" w:type="dxa"/>
            <w:vAlign w:val="center"/>
          </w:tcPr>
          <w:p w:rsidR="005E3579" w:rsidRPr="005637B6" w:rsidRDefault="005E3579" w:rsidP="005637B6">
            <w:pPr>
              <w:tabs>
                <w:tab w:val="left" w:pos="175"/>
                <w:tab w:val="left" w:pos="317"/>
                <w:tab w:val="left" w:pos="459"/>
              </w:tabs>
              <w:ind w:left="34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Відсутність контролю за дотриманням законодавства щодо конфлікту інтересів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який виникає у посадової особи виконавчого апарату Чернівецької обласної ради під час роботи, депутатів обласної ради та керівників комунальних установ, що є у спільній власності територіальних громах сіл, селищ, міст Чернівецької області</w:t>
            </w:r>
          </w:p>
        </w:tc>
        <w:tc>
          <w:tcPr>
            <w:tcW w:w="3852" w:type="dxa"/>
            <w:gridSpan w:val="2"/>
            <w:vAlign w:val="center"/>
          </w:tcPr>
          <w:p w:rsidR="005E3579" w:rsidRPr="0042473F" w:rsidRDefault="005E3579" w:rsidP="00D50F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47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Незабезпечення контролю </w:t>
            </w:r>
            <w:proofErr w:type="spellStart"/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</w:t>
            </w:r>
            <w:r w:rsidRPr="004247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дотриманням</w:t>
            </w:r>
            <w:proofErr w:type="spellEnd"/>
            <w:r w:rsidRPr="004247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законодавства щодо конфлікту інтересів</w:t>
            </w:r>
            <w:r w:rsidR="005637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4247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який виникає у посадової особи виконавчого апарату Чернівецької обласної ради під час роботи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Pr="004247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депутатів обласної ради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керівників комунальних установ спільн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власності територіальних громах сіл, селищ, міст Чернівецької області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4247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які можуть приховувати</w:t>
            </w:r>
            <w:r w:rsidRPr="004247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інформаці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</w:t>
            </w:r>
            <w:r w:rsidRPr="004247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поруш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увати</w:t>
            </w:r>
            <w:r w:rsidRPr="004247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антикорупційн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4247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законодавств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</w:p>
        </w:tc>
        <w:tc>
          <w:tcPr>
            <w:tcW w:w="3092" w:type="dxa"/>
            <w:gridSpan w:val="3"/>
            <w:vAlign w:val="center"/>
          </w:tcPr>
          <w:p w:rsidR="005E3579" w:rsidRPr="00D50F4E" w:rsidRDefault="005E3579" w:rsidP="00D50F4E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Відсутність контролю може сприяти приховуванню інформації посадовими</w:t>
            </w:r>
            <w:r w:rsidR="00D50F4E" w:rsidRP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особами</w:t>
            </w:r>
            <w:r w:rsidRP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виконавчого апарату Чернівецької обласної ради, депутатами обласної ради та керівник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ами </w:t>
            </w:r>
            <w:r w:rsidRP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комунальних установ спільн</w:t>
            </w:r>
            <w:r w:rsid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</w:t>
            </w:r>
            <w:r w:rsidRPr="00D50F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власності територіальних громах сіл, селищ, міст Чернівецької області</w:t>
            </w:r>
          </w:p>
        </w:tc>
        <w:tc>
          <w:tcPr>
            <w:tcW w:w="4907" w:type="dxa"/>
            <w:gridSpan w:val="2"/>
            <w:vAlign w:val="center"/>
          </w:tcPr>
          <w:p w:rsidR="005E3579" w:rsidRPr="001B0032" w:rsidRDefault="005E3579" w:rsidP="002121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2261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трата репутації обласної ради,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судові процеси</w:t>
            </w:r>
          </w:p>
        </w:tc>
      </w:tr>
    </w:tbl>
    <w:p w:rsidR="004347B3" w:rsidRDefault="004347B3" w:rsidP="004347B3">
      <w:pPr>
        <w:tabs>
          <w:tab w:val="left" w:pos="8280"/>
        </w:tabs>
        <w:spacing w:line="240" w:lineRule="auto"/>
        <w:ind w:left="-113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47B3" w:rsidRDefault="004347B3" w:rsidP="004347B3">
      <w:pPr>
        <w:tabs>
          <w:tab w:val="left" w:pos="8280"/>
        </w:tabs>
        <w:spacing w:line="240" w:lineRule="auto"/>
        <w:ind w:left="-113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47B3" w:rsidRDefault="004347B3" w:rsidP="004347B3">
      <w:pPr>
        <w:tabs>
          <w:tab w:val="left" w:pos="8280"/>
        </w:tabs>
        <w:spacing w:line="240" w:lineRule="auto"/>
        <w:ind w:left="-113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47B3" w:rsidRDefault="004347B3" w:rsidP="004347B3">
      <w:pPr>
        <w:tabs>
          <w:tab w:val="left" w:pos="8280"/>
        </w:tabs>
        <w:spacing w:line="360" w:lineRule="auto"/>
        <w:ind w:left="-1134"/>
        <w:rPr>
          <w:rFonts w:ascii="Calibri" w:hAnsi="Calibri"/>
          <w:b/>
          <w:sz w:val="16"/>
          <w:szCs w:val="16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справами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0825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25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0825CE">
        <w:rPr>
          <w:rFonts w:ascii="Times New Roman" w:hAnsi="Times New Roman" w:cs="Times New Roman"/>
          <w:b/>
          <w:sz w:val="28"/>
          <w:szCs w:val="28"/>
        </w:rPr>
        <w:t xml:space="preserve">  М</w:t>
      </w:r>
      <w:proofErr w:type="spellStart"/>
      <w:r w:rsidR="000825CE">
        <w:rPr>
          <w:rFonts w:ascii="Times New Roman" w:hAnsi="Times New Roman" w:cs="Times New Roman"/>
          <w:b/>
          <w:sz w:val="28"/>
          <w:szCs w:val="28"/>
          <w:lang w:val="uk-UA"/>
        </w:rPr>
        <w:t>икола</w:t>
      </w:r>
      <w:proofErr w:type="spellEnd"/>
      <w:r w:rsidR="000825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БОРЕЦЬ</w:t>
      </w:r>
    </w:p>
    <w:p w:rsidR="005637B6" w:rsidRPr="004347B3" w:rsidRDefault="005637B6" w:rsidP="004347B3">
      <w:pPr>
        <w:spacing w:after="0" w:line="240" w:lineRule="auto"/>
        <w:ind w:left="-1134"/>
        <w:rPr>
          <w:rFonts w:ascii="Times New Roman" w:hAnsi="Times New Roman" w:cs="Times New Roman"/>
          <w:b/>
          <w:sz w:val="16"/>
          <w:szCs w:val="16"/>
        </w:rPr>
      </w:pPr>
    </w:p>
    <w:sectPr w:rsidR="005637B6" w:rsidRPr="004347B3" w:rsidSect="00F05A4E">
      <w:headerReference w:type="default" r:id="rId8"/>
      <w:pgSz w:w="16838" w:h="11906" w:orient="landscape"/>
      <w:pgMar w:top="1134" w:right="567" w:bottom="1134" w:left="1701" w:header="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1B0" w:rsidRDefault="006601B0" w:rsidP="00F05A4E">
      <w:pPr>
        <w:spacing w:after="0" w:line="240" w:lineRule="auto"/>
      </w:pPr>
      <w:r>
        <w:separator/>
      </w:r>
    </w:p>
  </w:endnote>
  <w:endnote w:type="continuationSeparator" w:id="0">
    <w:p w:rsidR="006601B0" w:rsidRDefault="006601B0" w:rsidP="00F05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1B0" w:rsidRDefault="006601B0" w:rsidP="00F05A4E">
      <w:pPr>
        <w:spacing w:after="0" w:line="240" w:lineRule="auto"/>
      </w:pPr>
      <w:r>
        <w:separator/>
      </w:r>
    </w:p>
  </w:footnote>
  <w:footnote w:type="continuationSeparator" w:id="0">
    <w:p w:rsidR="006601B0" w:rsidRDefault="006601B0" w:rsidP="00F05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AB3" w:rsidRDefault="003E0AB3" w:rsidP="00880A2B">
    <w:pPr>
      <w:pStyle w:val="a4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5B17"/>
    <w:multiLevelType w:val="hybridMultilevel"/>
    <w:tmpl w:val="05341BA4"/>
    <w:lvl w:ilvl="0" w:tplc="E11EF09C">
      <w:start w:val="8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3FC07A18"/>
    <w:multiLevelType w:val="hybridMultilevel"/>
    <w:tmpl w:val="33269034"/>
    <w:lvl w:ilvl="0" w:tplc="AE904F7C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55876332"/>
    <w:multiLevelType w:val="hybridMultilevel"/>
    <w:tmpl w:val="A1966C92"/>
    <w:lvl w:ilvl="0" w:tplc="910E339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62D8C"/>
    <w:rsid w:val="00032466"/>
    <w:rsid w:val="000825CE"/>
    <w:rsid w:val="000E2AC8"/>
    <w:rsid w:val="000F6246"/>
    <w:rsid w:val="0012675E"/>
    <w:rsid w:val="00126A57"/>
    <w:rsid w:val="00195FA5"/>
    <w:rsid w:val="001B0032"/>
    <w:rsid w:val="001E0C12"/>
    <w:rsid w:val="001F17AB"/>
    <w:rsid w:val="00202E53"/>
    <w:rsid w:val="002121EB"/>
    <w:rsid w:val="002261FD"/>
    <w:rsid w:val="00227F75"/>
    <w:rsid w:val="00252574"/>
    <w:rsid w:val="002628D5"/>
    <w:rsid w:val="00297037"/>
    <w:rsid w:val="002A024B"/>
    <w:rsid w:val="002E1A6A"/>
    <w:rsid w:val="003B1DD9"/>
    <w:rsid w:val="003B2D48"/>
    <w:rsid w:val="003C01E3"/>
    <w:rsid w:val="003E0AB3"/>
    <w:rsid w:val="004025B2"/>
    <w:rsid w:val="0042473F"/>
    <w:rsid w:val="004347B3"/>
    <w:rsid w:val="00435ED4"/>
    <w:rsid w:val="00507A76"/>
    <w:rsid w:val="00540ABF"/>
    <w:rsid w:val="005570CB"/>
    <w:rsid w:val="005637B6"/>
    <w:rsid w:val="005755D3"/>
    <w:rsid w:val="005C7C71"/>
    <w:rsid w:val="005D3716"/>
    <w:rsid w:val="005E3579"/>
    <w:rsid w:val="006035F5"/>
    <w:rsid w:val="0065783D"/>
    <w:rsid w:val="006601B0"/>
    <w:rsid w:val="0067179B"/>
    <w:rsid w:val="00677A4D"/>
    <w:rsid w:val="006A1583"/>
    <w:rsid w:val="006E2D1D"/>
    <w:rsid w:val="00746654"/>
    <w:rsid w:val="007516C9"/>
    <w:rsid w:val="0076250E"/>
    <w:rsid w:val="00787661"/>
    <w:rsid w:val="007944C3"/>
    <w:rsid w:val="007B43E0"/>
    <w:rsid w:val="008065D7"/>
    <w:rsid w:val="0084575A"/>
    <w:rsid w:val="00865B63"/>
    <w:rsid w:val="00866E57"/>
    <w:rsid w:val="00880A2B"/>
    <w:rsid w:val="008A77B5"/>
    <w:rsid w:val="009061FC"/>
    <w:rsid w:val="00936600"/>
    <w:rsid w:val="009A0D71"/>
    <w:rsid w:val="009B4D1C"/>
    <w:rsid w:val="00A00659"/>
    <w:rsid w:val="00A03E01"/>
    <w:rsid w:val="00A25041"/>
    <w:rsid w:val="00A302A9"/>
    <w:rsid w:val="00A66C16"/>
    <w:rsid w:val="00A710A8"/>
    <w:rsid w:val="00A821C4"/>
    <w:rsid w:val="00AD6A72"/>
    <w:rsid w:val="00B122D6"/>
    <w:rsid w:val="00B22166"/>
    <w:rsid w:val="00BC5170"/>
    <w:rsid w:val="00BF0495"/>
    <w:rsid w:val="00C045BF"/>
    <w:rsid w:val="00C468FD"/>
    <w:rsid w:val="00C62D8C"/>
    <w:rsid w:val="00C836FE"/>
    <w:rsid w:val="00CC7108"/>
    <w:rsid w:val="00D41D4E"/>
    <w:rsid w:val="00D50F4E"/>
    <w:rsid w:val="00DA582C"/>
    <w:rsid w:val="00E21A40"/>
    <w:rsid w:val="00E93072"/>
    <w:rsid w:val="00EA1D03"/>
    <w:rsid w:val="00EB554F"/>
    <w:rsid w:val="00EF40E9"/>
    <w:rsid w:val="00F033E4"/>
    <w:rsid w:val="00F05A4E"/>
    <w:rsid w:val="00F1232C"/>
    <w:rsid w:val="00F36CD0"/>
    <w:rsid w:val="00F42ED2"/>
    <w:rsid w:val="00F54EE9"/>
    <w:rsid w:val="00FA7322"/>
    <w:rsid w:val="00FB0567"/>
    <w:rsid w:val="00FF1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05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5A4E"/>
  </w:style>
  <w:style w:type="paragraph" w:styleId="a6">
    <w:name w:val="footer"/>
    <w:basedOn w:val="a"/>
    <w:link w:val="a7"/>
    <w:uiPriority w:val="99"/>
    <w:semiHidden/>
    <w:unhideWhenUsed/>
    <w:rsid w:val="00F05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05A4E"/>
  </w:style>
  <w:style w:type="paragraph" w:styleId="a8">
    <w:name w:val="List Paragraph"/>
    <w:basedOn w:val="a"/>
    <w:uiPriority w:val="34"/>
    <w:qFormat/>
    <w:rsid w:val="005E35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7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C8D39-2578-42E1-AD30-BCD77F1A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6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28</cp:revision>
  <cp:lastPrinted>2021-02-23T14:57:00Z</cp:lastPrinted>
  <dcterms:created xsi:type="dcterms:W3CDTF">2020-11-06T12:24:00Z</dcterms:created>
  <dcterms:modified xsi:type="dcterms:W3CDTF">2021-03-03T08:04:00Z</dcterms:modified>
</cp:coreProperties>
</file>