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14" w:rsidRPr="00AF3B34" w:rsidRDefault="00003E14" w:rsidP="00AF3B3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0" w:name="_GoBack"/>
      <w:bookmarkEnd w:id="0"/>
      <w:r w:rsidRPr="00AF3B34">
        <w:rPr>
          <w:rFonts w:ascii="Times New Roman" w:hAnsi="Times New Roman" w:cs="Times New Roman"/>
          <w:color w:val="auto"/>
          <w:sz w:val="28"/>
          <w:szCs w:val="28"/>
          <w:lang w:val="uk-UA"/>
        </w:rPr>
        <w:t>Інформаційна довідка</w:t>
      </w:r>
    </w:p>
    <w:p w:rsidR="00003E14" w:rsidRPr="00E56260" w:rsidRDefault="00003E14" w:rsidP="00E56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«Про виконання у 2019 році</w:t>
      </w:r>
    </w:p>
    <w:p w:rsidR="00003E14" w:rsidRPr="00E56260" w:rsidRDefault="00003E14" w:rsidP="00E56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Регіональної програми «Буковинські студії VIII»</w:t>
      </w:r>
    </w:p>
    <w:p w:rsidR="00003E14" w:rsidRDefault="00003E14" w:rsidP="00E56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(археологія, історія та культура Буковини (1359-1940 рр</w:t>
      </w:r>
      <w:r w:rsidR="001B34F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B34F9" w:rsidRPr="001B34F9" w:rsidRDefault="001B34F9" w:rsidP="00E56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4F9">
        <w:rPr>
          <w:rFonts w:ascii="Times New Roman" w:hAnsi="Times New Roman" w:cs="Times New Roman"/>
          <w:b/>
          <w:sz w:val="28"/>
          <w:szCs w:val="28"/>
        </w:rPr>
        <w:t>на 2017-2019 роки</w:t>
      </w:r>
    </w:p>
    <w:p w:rsidR="00F275F4" w:rsidRPr="00E56260" w:rsidRDefault="00F275F4" w:rsidP="00E56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Відповідно до Регіональної програми «Буковинські студії VIII»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(археологія, історія та культура Буковини (1359-1940 рр.)) на 2017-2019 роки</w:t>
      </w:r>
    </w:p>
    <w:p w:rsidR="00003E14" w:rsidRPr="00E56260" w:rsidRDefault="00003E14" w:rsidP="00E56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(Далі – Програма), затвердженої рішенням XIV сесії Чернівецької обласної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ради VII скликання від 4 липня 2017 р. № 99-14/17, науково-дослідним Центром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національного університету імені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(Далі – Центр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 упродовж 2019 року проведено </w:t>
      </w:r>
      <w:r w:rsidRPr="001B34F9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заходів.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У 2019 році з обласного бюджету на реалізацію заходів виділено 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1B34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315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., які використано в повному обсязі.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Виділені кошти у 2019 році спрямовано на:</w:t>
      </w:r>
    </w:p>
    <w:p w:rsidR="00003E14" w:rsidRPr="00E56260" w:rsidRDefault="001B34F9" w:rsidP="001B34F9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етнодемографічних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історичних процесів буковинського краю (1774 - 1944 рр.): пошук та переклад архівних матеріалів щодо подій 1848-1849 рр.; пошук та систематизація мате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ріалів щодо подій 1939-1941 рр., 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публікація матеріалів – 45,00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вивчення особливостей політичних процесів, церковно-релігійного та культурного життя на Буковині під час революційних рухів – 25,00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- проведення наукових симпозіумів, міжнародних конференцій за участі німецьких, австрійських, румунс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 xml:space="preserve">ьких та українських науковців –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50,00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дослідження ролі місцевих еліт та церкви в умовах політичних змін (періоди переходу краю від Австрійської імперії до Румунії, від Румунії до СРСР) – 25,00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археологічних досліджень на території Чернівецької області, зокрема Хотинській фортеці,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Рідківського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поселення Х ст. Чернівецького городища ХІІІ ст., с. Василів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Заставнівського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району – 15,00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дослідження сакральних місць пам’яті етнічних груп, які проживали на території області в різні історичні епохи – 15,00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дослідження дипломатичної та політичної боротьби у 1918-1919 роках: «Довкола історичної справедливості» – 15,00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підтримка інформаційного сайту  науково-дослідного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(наявність інформації українською, англійською, німецькою, румунською мовами) – 10,00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- розробка та формування наукового збірника  «Щорічник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» – 50,00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- налагодження наукового та освітнього співробітництва з Німеччиною, Австрією, Румунією, проведення спільних форумів, конференцій, семі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 xml:space="preserve">нарів, круглих столів тощо – 50,00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3E14" w:rsidRPr="00E56260" w:rsidRDefault="00003E14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>- археолого-архітектурне дослідження культових та житлових споруд –15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423B" w:rsidRPr="00E56260" w:rsidRDefault="001642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показників продукту, ефективності та якості програми визначених згідно додатку 3 Програми, Центром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комплексні дослідження за наступними напрямами: 1) історія буковинського краю 1774-1944 рр.; 2) роль місцевих еліт та церкви в умовах політичних змін, зокрема періодів Австрійської імперії та переходу краю до складу Румунії; 3) археологічні дослідження на території Чернівецької області; 4) дослідження сакральних місць пам’яті етнічних груп, які проживають на території області в різні історичні епохи.</w:t>
      </w:r>
    </w:p>
    <w:p w:rsidR="0016423B" w:rsidRPr="00E56260" w:rsidRDefault="001642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підготовлено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опубліковано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r w:rsidRPr="00E56260">
        <w:rPr>
          <w:rFonts w:ascii="Times New Roman" w:hAnsi="Times New Roman" w:cs="Times New Roman"/>
          <w:b/>
          <w:sz w:val="28"/>
          <w:szCs w:val="28"/>
        </w:rPr>
        <w:t>17</w:t>
      </w:r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статей,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надруковані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щорічнику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Буковинозавства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Вісник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 xml:space="preserve"> центру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Буковинозавства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Збірник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наукових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праць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науково-дослідни</w:t>
      </w:r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>ого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 xml:space="preserve"> Центру </w:t>
      </w:r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уковинознавства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Черні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ецького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національного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університету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імені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Юрія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Федьковича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Чернівці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E56260">
        <w:rPr>
          <w:rFonts w:ascii="Times New Roman" w:hAnsi="Times New Roman" w:cs="Times New Roman"/>
          <w:i/>
          <w:sz w:val="28"/>
          <w:szCs w:val="28"/>
        </w:rPr>
        <w:t>Технодрук</w:t>
      </w:r>
      <w:proofErr w:type="spellEnd"/>
      <w:r w:rsidRPr="00E56260">
        <w:rPr>
          <w:rFonts w:ascii="Times New Roman" w:hAnsi="Times New Roman" w:cs="Times New Roman"/>
          <w:i/>
          <w:sz w:val="28"/>
          <w:szCs w:val="28"/>
        </w:rPr>
        <w:t>, 201</w:t>
      </w:r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>9</w:t>
      </w:r>
      <w:r w:rsidRPr="00E56260">
        <w:rPr>
          <w:rFonts w:ascii="Times New Roman" w:hAnsi="Times New Roman" w:cs="Times New Roman"/>
          <w:i/>
          <w:sz w:val="28"/>
          <w:szCs w:val="28"/>
        </w:rPr>
        <w:t>. – Т.</w:t>
      </w:r>
      <w:r w:rsidRPr="00E56260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Pr="00E56260">
        <w:rPr>
          <w:rFonts w:ascii="Times New Roman" w:hAnsi="Times New Roman" w:cs="Times New Roman"/>
          <w:i/>
          <w:sz w:val="28"/>
          <w:szCs w:val="28"/>
        </w:rPr>
        <w:t xml:space="preserve">. – </w:t>
      </w:r>
      <w:r w:rsidR="00F275F4" w:rsidRPr="00E56260">
        <w:rPr>
          <w:rFonts w:ascii="Times New Roman" w:hAnsi="Times New Roman" w:cs="Times New Roman"/>
          <w:i/>
          <w:sz w:val="28"/>
          <w:szCs w:val="28"/>
          <w:lang w:val="uk-UA"/>
        </w:rPr>
        <w:t>200</w:t>
      </w:r>
      <w:r w:rsidRPr="00E56260">
        <w:rPr>
          <w:rFonts w:ascii="Times New Roman" w:hAnsi="Times New Roman" w:cs="Times New Roman"/>
          <w:i/>
          <w:sz w:val="28"/>
          <w:szCs w:val="28"/>
        </w:rPr>
        <w:t xml:space="preserve"> с.</w:t>
      </w:r>
      <w:r w:rsidRPr="00E56260">
        <w:rPr>
          <w:rFonts w:ascii="Times New Roman" w:hAnsi="Times New Roman" w:cs="Times New Roman"/>
          <w:sz w:val="28"/>
          <w:szCs w:val="28"/>
        </w:rPr>
        <w:t>).</w:t>
      </w:r>
    </w:p>
    <w:p w:rsidR="0016423B" w:rsidRPr="001B34F9" w:rsidRDefault="0016423B" w:rsidP="001B3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співробітники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представляють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дослідницької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Ірина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Яворська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,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Лідія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Ковалець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6260">
        <w:rPr>
          <w:rFonts w:ascii="Times New Roman" w:hAnsi="Times New Roman" w:cs="Times New Roman"/>
          <w:sz w:val="28"/>
          <w:szCs w:val="28"/>
        </w:rPr>
        <w:t xml:space="preserve"> Ганна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, Катерина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Микола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Глібіщук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>)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56260">
        <w:rPr>
          <w:rFonts w:ascii="Times New Roman" w:hAnsi="Times New Roman" w:cs="Times New Roman"/>
          <w:sz w:val="28"/>
          <w:szCs w:val="28"/>
        </w:rPr>
        <w:t xml:space="preserve">Центром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вжиті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популяризації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Буковини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краю. Так,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представлено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b/>
          <w:sz w:val="28"/>
          <w:szCs w:val="28"/>
        </w:rPr>
        <w:t>2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доповідей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присвячених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проблемам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Буковини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>.</w:t>
      </w:r>
    </w:p>
    <w:p w:rsidR="008F11A9" w:rsidRPr="00E56260" w:rsidRDefault="00167FB4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8 квітня 2019 року спільно з Кафедрою історії стародавнього світу, середніх віків та музеєзнавства, ГО Всеукраїнська правозахисна організація «Меморіал» імені Василя Стуса, ГО Центр регіональної співпраці «Діалог»  Центр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провів Міжнародну наукову конференцію  «</w:t>
      </w:r>
      <w:r w:rsidRPr="00E56260">
        <w:rPr>
          <w:rFonts w:ascii="Times New Roman" w:hAnsi="Times New Roman" w:cs="Times New Roman"/>
          <w:sz w:val="28"/>
          <w:szCs w:val="28"/>
        </w:rPr>
        <w:t>PER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</w:rPr>
        <w:t>ASPERA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</w:rPr>
        <w:t>AD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</w:rPr>
        <w:t>ASTRA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: до 100-літнього ювілею відомого археолога Бориса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Тимощука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</w:rPr>
        <w:t>Per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</w:rPr>
        <w:t>aspera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</w:rPr>
        <w:t>ad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</w:rPr>
        <w:t>astra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: до 100-літнього ювілею відомого археолога Бориса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Тимощука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: Тези доповідей Міжнародної наукової конференції 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(м. Чернівці, 8 квітня 2019 р.). – Черн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 xml:space="preserve">івці: </w:t>
      </w:r>
      <w:proofErr w:type="spellStart"/>
      <w:r w:rsidR="00721DC6">
        <w:rPr>
          <w:rFonts w:ascii="Times New Roman" w:hAnsi="Times New Roman" w:cs="Times New Roman"/>
          <w:sz w:val="28"/>
          <w:szCs w:val="28"/>
          <w:lang w:val="uk-UA"/>
        </w:rPr>
        <w:t>Технодрук</w:t>
      </w:r>
      <w:proofErr w:type="spellEnd"/>
      <w:r w:rsidR="00721DC6">
        <w:rPr>
          <w:rFonts w:ascii="Times New Roman" w:hAnsi="Times New Roman" w:cs="Times New Roman"/>
          <w:sz w:val="28"/>
          <w:szCs w:val="28"/>
          <w:lang w:val="uk-UA"/>
        </w:rPr>
        <w:t>, 2019. – 139 с.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11A9" w:rsidRPr="00E56260" w:rsidRDefault="001B34F9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червня 2019 р. с</w:t>
      </w:r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пільно з Національним Інститутом Буковини (</w:t>
      </w:r>
      <w:proofErr w:type="spellStart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Радівці</w:t>
      </w:r>
      <w:proofErr w:type="spellEnd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Румунія) та Центром румунських студій проведено Міжнародний колоквіум «Буковина і буковинці у ХХ ст.: ідентичності та </w:t>
      </w:r>
      <w:proofErr w:type="spellStart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альтеритети</w:t>
      </w:r>
      <w:proofErr w:type="spellEnd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». Доповіді: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Ганна </w:t>
      </w:r>
      <w:proofErr w:type="spellStart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Скорейко</w:t>
      </w:r>
      <w:proofErr w:type="spellEnd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«Свої чужі сусіди: феномен сільського співіснування міжвоєнного часу», Ірина </w:t>
      </w:r>
      <w:proofErr w:type="spellStart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Яворська</w:t>
      </w:r>
      <w:proofErr w:type="spellEnd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Алія</w:t>
      </w:r>
      <w:proofErr w:type="spellEnd"/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як маркер єврейської ідентичності на Буковині у другій</w:t>
      </w:r>
      <w:r w:rsidR="0016423B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1A9" w:rsidRPr="00E56260">
        <w:rPr>
          <w:rFonts w:ascii="Times New Roman" w:hAnsi="Times New Roman" w:cs="Times New Roman"/>
          <w:sz w:val="28"/>
          <w:szCs w:val="28"/>
          <w:lang w:val="uk-UA"/>
        </w:rPr>
        <w:t>половині ХХ ст.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11A9" w:rsidRPr="00E56260" w:rsidRDefault="008F11A9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26-28 вересня проведено Міжнародну науково-практичну конференцію «Культурна пам’ять/забуття та проблема ідентичності в сучасному суспільстві: виклики, рефлексії, перспективи».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Значна увага приділена проблемам збереження національної культурної спадщини Буковини. Окрему секцію присвячено обговоренню питання збереження пам’яті про Голокост та Голодомор на Буковині.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Доповіді: Ганна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Ірина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Яворська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Катерина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60E5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Яна </w:t>
      </w:r>
      <w:proofErr w:type="spellStart"/>
      <w:r w:rsidR="00B60E5C" w:rsidRPr="00E56260">
        <w:rPr>
          <w:rFonts w:ascii="Times New Roman" w:hAnsi="Times New Roman" w:cs="Times New Roman"/>
          <w:sz w:val="28"/>
          <w:szCs w:val="28"/>
          <w:lang w:val="uk-UA"/>
        </w:rPr>
        <w:t>Бестанчук</w:t>
      </w:r>
      <w:proofErr w:type="spellEnd"/>
      <w:r w:rsidR="00B60E5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Назарій </w:t>
      </w:r>
      <w:proofErr w:type="spellStart"/>
      <w:r w:rsidR="00B60E5C" w:rsidRPr="00E56260">
        <w:rPr>
          <w:rFonts w:ascii="Times New Roman" w:hAnsi="Times New Roman" w:cs="Times New Roman"/>
          <w:sz w:val="28"/>
          <w:szCs w:val="28"/>
          <w:lang w:val="uk-UA"/>
        </w:rPr>
        <w:t>Христан</w:t>
      </w:r>
      <w:proofErr w:type="spellEnd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Микола </w:t>
      </w:r>
      <w:proofErr w:type="spellStart"/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Глібіщук</w:t>
      </w:r>
      <w:proofErr w:type="spellEnd"/>
      <w:r w:rsidR="00B60E5C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 рамках конференції відбулося засідання Всеукраїнського </w:t>
      </w:r>
      <w:proofErr w:type="spellStart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>Усноісторичного</w:t>
      </w:r>
      <w:proofErr w:type="spellEnd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клубу, організоване спільними зусиллями Центру </w:t>
      </w:r>
      <w:proofErr w:type="spellStart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Буковинознаства</w:t>
      </w:r>
      <w:proofErr w:type="spellEnd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Інституту національної пам’яті. З доповідями виступили наукові співробітники ЦБ. Серед учасників засідання та доповідачів були знані українські дослідники, вчителі Чернівецької області, журналісти та музейні працівники. </w:t>
      </w:r>
      <w:r w:rsidR="00623B06" w:rsidRPr="00E56260">
        <w:rPr>
          <w:rFonts w:ascii="Times New Roman" w:hAnsi="Times New Roman" w:cs="Times New Roman"/>
          <w:sz w:val="28"/>
          <w:szCs w:val="28"/>
          <w:lang w:val="uk-UA"/>
        </w:rPr>
        <w:t>Обговорювалися питання використання усно історичних матеріалів у суспільній та науковій практиці.</w:t>
      </w:r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0E5C" w:rsidRPr="00E56260" w:rsidRDefault="00B60E5C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1 – 2 листопада 2019 р. пров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едено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ХІІ Буковинську міжнародну історико-краєзнавчу конференцію,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присвячену 185-й річниці з дня народження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160-й річниці з дня народження Степана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Смаль-Стоцького</w:t>
      </w:r>
      <w:proofErr w:type="spellEnd"/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(ХІІ Буковинська міжнародна історико-краєзнавча конференція, присвячена 185-й річниці від дня народження Юрія </w:t>
      </w:r>
      <w:proofErr w:type="spellStart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160-й річниці від дня народження Степана </w:t>
      </w:r>
      <w:proofErr w:type="spellStart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Смаль-Стоцького</w:t>
      </w:r>
      <w:proofErr w:type="spellEnd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конференції стали українські вчені та історики з Румунії, Німеччини.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34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Тут обговорювалися важливі проблеми історії, культури, археології Буковини. </w:t>
      </w:r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Тези доповідей, Чернівці, 1 ‒ 2 листопада 2019 р. / Наук ред. О.В. </w:t>
      </w:r>
      <w:proofErr w:type="spellStart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Добржанський</w:t>
      </w:r>
      <w:proofErr w:type="spellEnd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Чернівці: </w:t>
      </w:r>
      <w:proofErr w:type="spellStart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Технодрук</w:t>
      </w:r>
      <w:proofErr w:type="spellEnd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, 2019. 172 с.)</w:t>
      </w:r>
      <w:r w:rsidR="00B834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0E5C" w:rsidRPr="00E56260" w:rsidRDefault="00B60E5C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14 листопада 2019 року проведено Міжнародний науковий семінар «Війна і революції на руїнах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Габсбургської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монархії (до 100-річчя у</w:t>
      </w:r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кладання </w:t>
      </w:r>
      <w:proofErr w:type="spellStart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>Сен-Жерменського</w:t>
      </w:r>
      <w:proofErr w:type="spellEnd"/>
      <w:r w:rsidR="00211ADC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миру), в якому взяли участь вчені з України, Словаччини, Білорусі.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Виступили: Ірина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Яворська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Тарас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Микола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Глібіщук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34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Одним із найважливіших наукових спорів, пов’язаних із включенням питання юридичного статусу Буковини до обговорення на Паризькій мирній конференції та узаконення анексії краю Румунією, було доповнено цінною інформацією на семінарі.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346" w:rsidRPr="00E56260">
        <w:rPr>
          <w:rFonts w:ascii="Times New Roman" w:hAnsi="Times New Roman" w:cs="Times New Roman"/>
          <w:sz w:val="28"/>
          <w:szCs w:val="28"/>
          <w:lang w:val="uk-UA"/>
        </w:rPr>
        <w:t>Вперше піднято питання впливу нової світової реаль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ності на долю пересічних людей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3E1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0E5C" w:rsidRPr="00E56260" w:rsidRDefault="00B60E5C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12 грудня </w:t>
      </w:r>
      <w:r w:rsidR="00167FB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2019 року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наукові співробітники Центру </w:t>
      </w:r>
      <w:proofErr w:type="spellStart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провели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одноденний сертифікований семінар для вчителів історії Чернівецької області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Буковина на цивілізаційних розломах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6E4E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Всього на семінарі працювало 36 вчителів, які виконали програму семінару, отримали сертифікати та книги і збірники, видані ЦБ.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Програма. Сертифікати</w:t>
      </w:r>
      <w:r w:rsidR="002939A6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4A69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7FB4" w:rsidRPr="00B834E5" w:rsidRDefault="00167FB4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13 грудня 2019 року проведено ІІІ Міжнародний науковий семінар «Археологія Буковини: здобутки та перспективи».</w:t>
      </w:r>
      <w:r w:rsidR="00F76E4E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Науковий форум, який уже став традиційним, зібрав вчених з України, Румунії, Польщі, Угорщини, які досліджують буковинську археологічну спадщину. Особливо цінним надбанням семінару стала участь буковинських вчителів та їхніх учнів у представленні результатів своєї роботи в сфері археології Буковини.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EE8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(Археологія Буковини: здобутки та перспективи: Тези доповідей ІІІ міжнародного наукового семінару, присвяченого 100-літтю від дня народження відомого науковця Бориса </w:t>
      </w:r>
      <w:proofErr w:type="spellStart"/>
      <w:r w:rsidR="00CA6EE8" w:rsidRPr="00E56260">
        <w:rPr>
          <w:rFonts w:ascii="Times New Roman" w:hAnsi="Times New Roman" w:cs="Times New Roman"/>
          <w:sz w:val="28"/>
          <w:szCs w:val="28"/>
          <w:lang w:val="uk-UA"/>
        </w:rPr>
        <w:t>Тимощука</w:t>
      </w:r>
      <w:proofErr w:type="spellEnd"/>
      <w:r w:rsidR="00CA6EE8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(м. Чернівці, 13 грудня 2019 р.). – Чер</w:t>
      </w:r>
      <w:r w:rsidR="00B834E5">
        <w:rPr>
          <w:rFonts w:ascii="Times New Roman" w:hAnsi="Times New Roman" w:cs="Times New Roman"/>
          <w:sz w:val="28"/>
          <w:szCs w:val="28"/>
          <w:lang w:val="uk-UA"/>
        </w:rPr>
        <w:t xml:space="preserve">нівці: </w:t>
      </w:r>
      <w:proofErr w:type="spellStart"/>
      <w:r w:rsidR="00B834E5">
        <w:rPr>
          <w:rFonts w:ascii="Times New Roman" w:hAnsi="Times New Roman" w:cs="Times New Roman"/>
          <w:sz w:val="28"/>
          <w:szCs w:val="28"/>
          <w:lang w:val="uk-UA"/>
        </w:rPr>
        <w:t>Технодрук</w:t>
      </w:r>
      <w:proofErr w:type="spellEnd"/>
      <w:r w:rsidR="00B834E5">
        <w:rPr>
          <w:rFonts w:ascii="Times New Roman" w:hAnsi="Times New Roman" w:cs="Times New Roman"/>
          <w:sz w:val="28"/>
          <w:szCs w:val="28"/>
          <w:lang w:val="uk-UA"/>
        </w:rPr>
        <w:t>, 2019. – 176 с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6EE8"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834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8B6" w:rsidRPr="001B34F9" w:rsidRDefault="00CA6EE8" w:rsidP="001B34F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E56260">
        <w:rPr>
          <w:sz w:val="28"/>
          <w:szCs w:val="28"/>
          <w:lang w:val="uk-UA"/>
        </w:rPr>
        <w:t xml:space="preserve">Науковими співробітниками Центру </w:t>
      </w:r>
      <w:proofErr w:type="spellStart"/>
      <w:r w:rsidRPr="00E56260">
        <w:rPr>
          <w:sz w:val="28"/>
          <w:szCs w:val="28"/>
          <w:lang w:val="uk-UA"/>
        </w:rPr>
        <w:t>Буковинознавства</w:t>
      </w:r>
      <w:proofErr w:type="spellEnd"/>
      <w:r w:rsidRPr="00E56260">
        <w:rPr>
          <w:sz w:val="28"/>
          <w:szCs w:val="28"/>
          <w:lang w:val="uk-UA"/>
        </w:rPr>
        <w:t xml:space="preserve"> представлено результати наукових досліджень міжнародних конференціях та симпозіумах за кордоном. Зокрема, плідною стала участь у роботі міждисциплінарної конференції «</w:t>
      </w:r>
      <w:proofErr w:type="spellStart"/>
      <w:r w:rsidRPr="00E56260">
        <w:rPr>
          <w:sz w:val="28"/>
          <w:szCs w:val="28"/>
          <w:lang w:val="uk-UA"/>
        </w:rPr>
        <w:t>Die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Geschichte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der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Bukowina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nach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dem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Visual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Turn</w:t>
      </w:r>
      <w:proofErr w:type="spellEnd"/>
      <w:r w:rsidRPr="00E56260">
        <w:rPr>
          <w:sz w:val="28"/>
          <w:szCs w:val="28"/>
          <w:lang w:val="uk-UA"/>
        </w:rPr>
        <w:t>», (</w:t>
      </w:r>
      <w:proofErr w:type="spellStart"/>
      <w:r w:rsidRPr="00E56260">
        <w:rPr>
          <w:sz w:val="28"/>
          <w:szCs w:val="28"/>
          <w:lang w:val="uk-UA"/>
        </w:rPr>
        <w:t>Ауґсбурґ</w:t>
      </w:r>
      <w:proofErr w:type="spellEnd"/>
      <w:r w:rsidRPr="00E56260">
        <w:rPr>
          <w:sz w:val="28"/>
          <w:szCs w:val="28"/>
          <w:lang w:val="uk-UA"/>
        </w:rPr>
        <w:t xml:space="preserve">, </w:t>
      </w:r>
      <w:r w:rsidRPr="00E56260">
        <w:rPr>
          <w:sz w:val="28"/>
          <w:szCs w:val="28"/>
          <w:lang w:val="uk-UA"/>
        </w:rPr>
        <w:lastRenderedPageBreak/>
        <w:t>Б</w:t>
      </w:r>
      <w:r w:rsidR="001B34F9">
        <w:rPr>
          <w:sz w:val="28"/>
          <w:szCs w:val="28"/>
          <w:lang w:val="uk-UA"/>
        </w:rPr>
        <w:t>уковина-Інститут). 17-19 жовтня</w:t>
      </w:r>
      <w:r w:rsidRPr="00E56260">
        <w:rPr>
          <w:sz w:val="28"/>
          <w:szCs w:val="28"/>
          <w:lang w:val="uk-UA"/>
        </w:rPr>
        <w:t xml:space="preserve"> Ганна </w:t>
      </w:r>
      <w:proofErr w:type="spellStart"/>
      <w:r w:rsidRPr="00E56260">
        <w:rPr>
          <w:sz w:val="28"/>
          <w:szCs w:val="28"/>
          <w:lang w:val="uk-UA"/>
        </w:rPr>
        <w:t>Скорейко</w:t>
      </w:r>
      <w:proofErr w:type="spellEnd"/>
      <w:r w:rsidRPr="00E56260">
        <w:rPr>
          <w:sz w:val="28"/>
          <w:szCs w:val="28"/>
          <w:lang w:val="uk-UA"/>
        </w:rPr>
        <w:t xml:space="preserve">, Катерина </w:t>
      </w:r>
      <w:proofErr w:type="spellStart"/>
      <w:r w:rsidRPr="00E56260">
        <w:rPr>
          <w:sz w:val="28"/>
          <w:szCs w:val="28"/>
          <w:lang w:val="uk-UA"/>
        </w:rPr>
        <w:t>Валявська</w:t>
      </w:r>
      <w:proofErr w:type="spellEnd"/>
      <w:r w:rsidRPr="00E56260">
        <w:rPr>
          <w:sz w:val="28"/>
          <w:szCs w:val="28"/>
          <w:lang w:val="uk-UA"/>
        </w:rPr>
        <w:t>.  Доповідь: «</w:t>
      </w:r>
      <w:proofErr w:type="spellStart"/>
      <w:r w:rsidRPr="00E56260">
        <w:rPr>
          <w:sz w:val="28"/>
          <w:szCs w:val="28"/>
          <w:lang w:val="uk-UA"/>
        </w:rPr>
        <w:t>Familienfoto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aus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der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Bukowina</w:t>
      </w:r>
      <w:proofErr w:type="spellEnd"/>
      <w:r w:rsidRPr="00E56260">
        <w:rPr>
          <w:sz w:val="28"/>
          <w:szCs w:val="28"/>
          <w:lang w:val="uk-UA"/>
        </w:rPr>
        <w:t xml:space="preserve">: Emotions- </w:t>
      </w:r>
      <w:proofErr w:type="spellStart"/>
      <w:r w:rsidRPr="00E56260">
        <w:rPr>
          <w:sz w:val="28"/>
          <w:szCs w:val="28"/>
          <w:lang w:val="uk-UA"/>
        </w:rPr>
        <w:t>und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sozialhistorische</w:t>
      </w:r>
      <w:proofErr w:type="spellEnd"/>
      <w:r w:rsidRPr="00E56260">
        <w:rPr>
          <w:sz w:val="28"/>
          <w:szCs w:val="28"/>
          <w:lang w:val="uk-UA"/>
        </w:rPr>
        <w:t xml:space="preserve"> </w:t>
      </w:r>
      <w:proofErr w:type="spellStart"/>
      <w:r w:rsidRPr="00E56260">
        <w:rPr>
          <w:sz w:val="28"/>
          <w:szCs w:val="28"/>
          <w:lang w:val="uk-UA"/>
        </w:rPr>
        <w:t>Zugänge</w:t>
      </w:r>
      <w:proofErr w:type="spellEnd"/>
      <w:r w:rsidRPr="00E56260">
        <w:rPr>
          <w:sz w:val="28"/>
          <w:szCs w:val="28"/>
          <w:lang w:val="uk-UA"/>
        </w:rPr>
        <w:t>» («Сімейні фотографії з Буковини: емоційний та соціально-історичні підходи»</w:t>
      </w:r>
      <w:r w:rsidR="00E56260">
        <w:rPr>
          <w:sz w:val="28"/>
          <w:szCs w:val="28"/>
          <w:lang w:val="uk-UA"/>
        </w:rPr>
        <w:t>). Тут на основі зображувальних матеріалів, в перше чергу родинних фотографій буковинців з початку ХХ ст. – початку ХХІ ст. здійснено аналіз емоційного та соціального простору в контексті тих потрясінь, які довелося пережити за 100 років. Особливо цінним стало порівняння родинних фото буковинців, що опинилися за кордоном з різних причин, та їхніх родичів, що залишилися в краї</w:t>
      </w:r>
      <w:r w:rsidR="00C578B6" w:rsidRPr="00C578B6">
        <w:rPr>
          <w:sz w:val="28"/>
          <w:szCs w:val="28"/>
          <w:lang w:val="uk-UA"/>
        </w:rPr>
        <w:t>.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</w:t>
      </w:r>
      <w:r w:rsidR="00C578B6" w:rsidRPr="00C578B6">
        <w:rPr>
          <w:color w:val="000000"/>
          <w:sz w:val="28"/>
          <w:szCs w:val="28"/>
          <w:bdr w:val="none" w:sz="0" w:space="0" w:color="auto" w:frame="1"/>
        </w:rPr>
        <w:t> 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рамках Двостороннього Року культури </w:t>
      </w:r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>Австрія - Україна 2019</w:t>
      </w:r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C578B6" w:rsidRPr="00C578B6">
        <w:rPr>
          <w:color w:val="000000"/>
          <w:sz w:val="28"/>
          <w:szCs w:val="28"/>
          <w:bdr w:val="none" w:sz="0" w:space="0" w:color="auto" w:frame="1"/>
        </w:rPr>
        <w:t>  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>з 21 по 22 листопада проводи</w:t>
      </w:r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>вс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>я австрійсько-український науково-практичний симпозіум</w:t>
      </w:r>
      <w:r w:rsidR="00C578B6" w:rsidRPr="00C578B6">
        <w:rPr>
          <w:color w:val="000000"/>
          <w:sz w:val="28"/>
          <w:szCs w:val="28"/>
          <w:bdr w:val="none" w:sz="0" w:space="0" w:color="auto" w:frame="1"/>
        </w:rPr>
        <w:t> </w:t>
      </w:r>
      <w:r w:rsidR="00C578B6" w:rsidRP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на тему:</w:t>
      </w:r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Ukraine morgen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 - 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der 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vision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ä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re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 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Korrealismus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 Friedrich 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Kieslers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 als Impuls f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ü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r Architektur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, 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de-AT"/>
        </w:rPr>
        <w:t>Kunst und Gesellschaft</w:t>
      </w:r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 / Україна завтра - бачення 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кореалізму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Фрідріха </w:t>
      </w:r>
      <w:proofErr w:type="spellStart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Кіслера</w:t>
      </w:r>
      <w:proofErr w:type="spellEnd"/>
      <w:r w:rsidR="00C578B6" w:rsidRPr="00C578B6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як імпульс в архітектурі, мистецтві та суспільстві</w:t>
      </w:r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де свою доповідь, присвячену народним домам Чернівців, представляла Ганна </w:t>
      </w:r>
      <w:proofErr w:type="spellStart"/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>Скорейко</w:t>
      </w:r>
      <w:proofErr w:type="spellEnd"/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Домовлено про спільні дослідницькі проекти з фондом Фрідріха </w:t>
      </w:r>
      <w:proofErr w:type="spellStart"/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>Кізлера</w:t>
      </w:r>
      <w:proofErr w:type="spellEnd"/>
      <w:r w:rsidR="00C578B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(Відень, Австрія). </w:t>
      </w:r>
    </w:p>
    <w:p w:rsidR="00C1153B" w:rsidRPr="00E56260" w:rsidRDefault="00C115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Результатом пошукової роботи, вивчення та систематизації </w:t>
      </w:r>
      <w:r w:rsidR="00623B0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опублікованих та архівних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документів підготовлено до друку та опубліковано колективн</w:t>
      </w:r>
      <w:r w:rsidR="00D71777" w:rsidRPr="00E562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монографі</w:t>
      </w:r>
      <w:r w:rsidR="00623B06" w:rsidRPr="00E5626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«Буковина на зламі: особистісний вимір» (Автори Олександр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Добржанський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Катерина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Ірина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Яворська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Ігор Піддубний, Юлія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Левіна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Ганна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Микола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Глібіщук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Тарас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, переклад з німецької мови здійснено Марком Куликом), монографі</w:t>
      </w:r>
      <w:r w:rsidR="00D71777" w:rsidRPr="00E5626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Катерини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Валявської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«В мереживі вальсу:</w:t>
      </w:r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світське життя на Буковині (1848-1918). Чернівці, 2019, 360 с.</w:t>
      </w:r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; монографія Миколи </w:t>
      </w:r>
      <w:proofErr w:type="spellStart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>Ільківа</w:t>
      </w:r>
      <w:proofErr w:type="spellEnd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«Портативний сонячний годинник із Хотинської фортеці: атрибуція, особливості використання, просторово-часовий контекст. Чернівці: </w:t>
      </w:r>
      <w:proofErr w:type="spellStart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>Технодрук</w:t>
      </w:r>
      <w:proofErr w:type="spellEnd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>, 2019. 208 с.; збірник матеріалів «Освіта Буковини: історія, здобутки, перспективи. Чернівці, 2019, 60 с.</w:t>
      </w:r>
    </w:p>
    <w:p w:rsidR="00C1153B" w:rsidRPr="00E56260" w:rsidRDefault="00C115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 метою налагодження ефективної міжнародної співпраці та популяризації наукових досліджень продовжує свою роботу сайт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(за посиланням –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</w:rPr>
        <w:t>http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://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</w:rPr>
        <w:t>bukstudcent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</w:rPr>
        <w:t>chnu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</w:rPr>
        <w:t>edu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</w:rPr>
        <w:t>ua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/#/)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на якому інформаційні матеріали розміщенні українською, румунською, німецькою, польською, англійською мовами, запущено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Ютуб-канал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Співробітники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впродовж звітного періоду постійно брали участь 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теле-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радіопередачах, присвячених історично значимим подіям у краї, здійснювали публікації результатів своїх наукових пошуків у мережі ФБ, місцевих ЗМІ.</w:t>
      </w:r>
    </w:p>
    <w:p w:rsidR="00C1153B" w:rsidRPr="00E56260" w:rsidRDefault="00C115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здійснена пошукова робота та опрацьовано матеріали фондів Центрального державного архіву громадських організацій (Ганна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), Центрального державного історичного архіву України у м. Львові (Катерина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), Австрійського державного архіву (Відень, Австрія), (Ганна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), Державного архіву Чернівецької області (Катерина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Тарас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Яна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Бестанчук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), Національної бібліотеки України ім. Вернадського та її Інституту Рукопису, які стосуються суспільно-політичного життя на Буковині у період початку ХХ ст. – до 1918 р., фондів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Відділу рідкісної книги наукової бібліотеки Чернівецького національного університету імені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(Наукові співробітники ЦБ), з метою пошуку інформації для написання наукових статей та матеріалів до категорії «Визначні особи» в розділі «Енциклопедія» сайту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3B0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Віднайдено та систематизовано низку архівних документів, присвячених різним періодам історії та культури Буковини, частину з них підготовлено до публікації, введення в науковий обіг, аналіз їх ліг в основу наукових доповідей на численних наукових конференціях, на учительських семінарах.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153B" w:rsidRPr="00E56260" w:rsidRDefault="00C1153B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Проведені дослідження історії буковинського краю 1774-1944 рр. висвітлені у наступних публікаціях:</w:t>
      </w:r>
    </w:p>
    <w:p w:rsidR="00831B63" w:rsidRPr="00E56260" w:rsidRDefault="00831B63" w:rsidP="00E562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Pr="00E562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ідія </w:t>
      </w:r>
      <w:proofErr w:type="spellStart"/>
      <w:r w:rsidRPr="00E562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Ковалець</w:t>
      </w:r>
      <w:proofErr w:type="spellEnd"/>
      <w:r w:rsidRPr="00E562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статті 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Федькович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>на основі численних матеріалів висвітлено історію осягнення Ю. </w:t>
      </w:r>
      <w:proofErr w:type="spellStart"/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>Федьковичем</w:t>
      </w:r>
      <w:proofErr w:type="spellEnd"/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книжних премудростей. Ця історія тривала впродовж усього життя видатного письменника і громадсько-культурного діяча, мала характер переважно його самоосвіти і стосувалась різних сфер знання: художньої літератури (української та зарубіжної), літературознавства, фольклористики, етнології, історії, філософії, права, педагогіки, астрономії, астрології тощо. Велика допитливість та працьовитість Ю. </w:t>
      </w:r>
      <w:proofErr w:type="spellStart"/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посприяли не тільки витворенню в тодішньому галицько-буковинському суспільстві нової моделі поведінки, але й інтелектуалізації цього суспільства.</w:t>
      </w:r>
      <w:r w:rsidR="00445D3A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Вісник Центру </w:t>
      </w:r>
      <w:proofErr w:type="spellStart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="00F275F4" w:rsidRPr="00E56260">
        <w:rPr>
          <w:rFonts w:ascii="Times New Roman" w:hAnsi="Times New Roman" w:cs="Times New Roman"/>
          <w:sz w:val="28"/>
          <w:szCs w:val="28"/>
          <w:lang w:val="uk-UA"/>
        </w:rPr>
        <w:t>. 2019,Т.3. С.6-19)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1284" w:rsidRPr="00E56260" w:rsidRDefault="00271284" w:rsidP="00E562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Ще одна стаття 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Лідії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Ковалець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Ukrainski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pisarz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Jurij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Fed’kowycz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w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swietle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odnalezionych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dokumentow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archiwalnych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jego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zwiazkow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z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Polska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містить аналіз нових архівних матеріалів, які відображають інтерес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до польської культури та літератури, простежуються впливи польських літературних течій на літературні пошуки видатного буковинського письменника (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Adhibenda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="001B34F9">
        <w:rPr>
          <w:rFonts w:ascii="Times New Roman" w:hAnsi="Times New Roman" w:cs="Times New Roman"/>
          <w:sz w:val="28"/>
          <w:szCs w:val="28"/>
          <w:lang w:val="uk-UA"/>
        </w:rPr>
        <w:t>Zielona</w:t>
      </w:r>
      <w:proofErr w:type="spellEnd"/>
      <w:r w:rsidR="001B3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34F9">
        <w:rPr>
          <w:rFonts w:ascii="Times New Roman" w:hAnsi="Times New Roman" w:cs="Times New Roman"/>
          <w:sz w:val="28"/>
          <w:szCs w:val="28"/>
          <w:lang w:val="uk-UA"/>
        </w:rPr>
        <w:t>Gora</w:t>
      </w:r>
      <w:proofErr w:type="spellEnd"/>
      <w:r w:rsidR="001B34F9">
        <w:rPr>
          <w:rFonts w:ascii="Times New Roman" w:hAnsi="Times New Roman" w:cs="Times New Roman"/>
          <w:sz w:val="28"/>
          <w:szCs w:val="28"/>
          <w:lang w:val="uk-UA"/>
        </w:rPr>
        <w:t>, 2019. – S.47-56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1B63" w:rsidRPr="00E56260" w:rsidRDefault="00445D3A" w:rsidP="00E562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Катерина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у статті «Соціальні практики світського стилю життя у праці Осипа Маковея «Життєпис Осипа-Юрія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Федьковича-Гординського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» аналізує праця О.Маковея з метою «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віднайдення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» у тексті репрезентацій соціальних практик умовного «світського» стилю життя, притаманних у середовищі середнього освіченого класу – інтелігенції – Герцогства Буковина протягом ХІХ ст. О.Маковей вдається до опису соціального оточення поета та їх соціальних практик: дотримання правил «хорошого тону» в самопрезентації (манери, одяг, ведення бесіди), різні види «світського» дозвілля та взаємодії (клуби, салон, вечірки, театр).( Науковий вісник Чернівецького університету імені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: Історія. – № 2. – 2019.– С. 48–54)</w:t>
      </w:r>
      <w:r w:rsidR="001B34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0BBD" w:rsidRPr="00E56260" w:rsidRDefault="00050BBD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Катерина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Валявська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у статті «Добрий старий час»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vs«новий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час» на Буковині:міфологізація минулого на зламі ХІХ – ХХ ст.» розглядає явище міфологізації минулого Буковини</w:t>
      </w:r>
      <w:r w:rsidR="00AE6912" w:rsidRPr="00E56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Стверджується, що дихотомія понять «добрий старий час» та «новий час» були спровоковані контекстом «Модерну» – епохи, що стала викликом для інтелектуалів та спровокувала на тлі повільних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модернізаційних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процесів в краї антагонізм світоглядних позицій в середовищі освічених верств.</w:t>
      </w:r>
      <w:r w:rsidRPr="00E56260">
        <w:rPr>
          <w:rFonts w:ascii="Times New Roman" w:hAnsi="Times New Roman" w:cs="Times New Roman"/>
          <w:sz w:val="28"/>
          <w:szCs w:val="28"/>
        </w:rPr>
        <w:t xml:space="preserve">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Особливо цікав</w:t>
      </w:r>
      <w:r w:rsidR="00AE6912" w:rsidRPr="00E5626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ю виглядає реакція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частини вищого товариства Буковини на поступовий розквіт національних культур. Таким чином, зважаючи на культурну та етнічну різноманітність краю, певна частка еліти Буковини усвідомлювала небезпеку, яку може нести таке різноманіття.</w:t>
      </w:r>
    </w:p>
    <w:p w:rsidR="00271284" w:rsidRPr="00E56260" w:rsidRDefault="00050BBD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71284"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рина </w:t>
      </w:r>
      <w:proofErr w:type="spellStart"/>
      <w:r w:rsidR="00271284" w:rsidRPr="00E56260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у статті «Неспалені мости»: еміграційні історії євреїв Буковини як осмислення життєвого досвіду»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аналізує 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деякі емігрантські історії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буковинських євреїв, які покидали СРСР після Другої світової війни. Особливо зауважено 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початок процесу формування аудіо та </w:t>
      </w:r>
      <w:proofErr w:type="spellStart"/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>відеосвідчень</w:t>
      </w:r>
      <w:proofErr w:type="spellEnd"/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тих, хто пережили Голокост. На прикладі реальних інтерв’ю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зроблено </w:t>
      </w:r>
      <w:r w:rsidR="00167FB4" w:rsidRPr="00E562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>загальн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досвід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>людей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, що пережили травму,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їхні розмірковування про цінності, які залишаються важливими упродовж поколінь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(Вісник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, 2019, Т.3, С.19-29)</w:t>
      </w:r>
      <w:r w:rsidR="00271284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0366" w:rsidRPr="00E56260" w:rsidRDefault="00AE6912" w:rsidP="00E5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Результатом наукових пошуків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Глібіщука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Миколи та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П’ятничука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Тараса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стала стаття «Деякі неопубліковані документи з історії Буковини у період Першої світової (1917 р.)» (Вісник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2019. Т.3. С.) Автори виявили, опублікували і проаналізували документи з Чернівецького державного обласного архіву, які стосуються історії буковинського краю у роки Першої світової війни. На прикладі численних звернень буковинців до російських окупаційних органів влади автори розмірковують про політичний і культурний розвиток населення краю у той час. </w:t>
      </w:r>
    </w:p>
    <w:p w:rsidR="00240B62" w:rsidRPr="00E56260" w:rsidRDefault="0090036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Ганна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Скорейко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, досліджуючи зібрані та систематизовані науковими співробітниками ЦБ матеріали усної історії, звернулася до однієї із найцікавіших і водночас найболючіших проблем історії Буковини – побутов</w:t>
      </w:r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взаємоді</w:t>
      </w:r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християнського та єврейського населення </w:t>
      </w:r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крайового села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міжвоєнного періоду</w:t>
      </w:r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>. У статті зауважується, що феномен буковинського сусідства базувався саме на господарському «</w:t>
      </w:r>
      <w:proofErr w:type="spellStart"/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>нішуванні</w:t>
      </w:r>
      <w:proofErr w:type="spellEnd"/>
      <w:r w:rsidR="00062A91" w:rsidRPr="00E56260">
        <w:rPr>
          <w:rFonts w:ascii="Times New Roman" w:hAnsi="Times New Roman" w:cs="Times New Roman"/>
          <w:sz w:val="28"/>
          <w:szCs w:val="28"/>
          <w:lang w:val="uk-UA"/>
        </w:rPr>
        <w:t>», де кожен мав свій простір для господарювання, культурні відмінності призводили до самоізоляції тільки при здійсненні релігійних ритуалів, але аж ніяк не позначалися на господарських сферах. Дослідниця відстоює думку, що в умовах запізнілого модерну, який проник у буковинське село після Першої світової війни, відбулося суттєве зближення християнського та іудейського селянства. Однак, він же неминуче призвів до великої трагедії початкового етапу німецько-радянської війни – Голокосту.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0B62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(Вісник Центру </w:t>
      </w:r>
      <w:proofErr w:type="spellStart"/>
      <w:r w:rsidR="00240B62"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="00240B62" w:rsidRPr="00E56260">
        <w:rPr>
          <w:rFonts w:ascii="Times New Roman" w:hAnsi="Times New Roman" w:cs="Times New Roman"/>
          <w:sz w:val="28"/>
          <w:szCs w:val="28"/>
          <w:lang w:val="uk-UA"/>
        </w:rPr>
        <w:t>. 2019. Т.3. С.179-190)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1B63" w:rsidRPr="00E56260" w:rsidRDefault="00AE6912" w:rsidP="00E5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Яна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Бестанчук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досліджує проблематику переходу Буковини до складу СРСР, 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в кра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радянської влади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її сприйняття місцевим населенням.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Тематика публікацій пов’язана з періодом історії Буковини т.зв. «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руского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року»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який датується 28 червня 1940 до початку липня 1941 року. </w:t>
      </w:r>
      <w:r w:rsidR="00D71777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Стаття «Спротив радянізації...» характеризує спроби місцевого населення протистояти радянській владі впродовж 1940-1941 року в Чернівецькій області. Проаналізовано форми спротиву, його поодинокі приклади у різних аспектах суспільно-політичного життя населення. Вказано локальність і неорганізованість руху опору, виявлено причини готовності у переважній своїй більшості до співпраці з радянською владою серед буковинського </w:t>
      </w:r>
      <w:r w:rsidR="00D71777"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населення. Зауважується, що одна із причин крилася в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метод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1777" w:rsidRPr="00E5626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«радянізації»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прямован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их новою владою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на вирішення </w:t>
      </w:r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питання (Вісник Центру </w:t>
      </w:r>
      <w:proofErr w:type="spellStart"/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="00900366" w:rsidRPr="00E56260">
        <w:rPr>
          <w:rFonts w:ascii="Times New Roman" w:hAnsi="Times New Roman" w:cs="Times New Roman"/>
          <w:sz w:val="28"/>
          <w:szCs w:val="28"/>
          <w:lang w:val="uk-UA"/>
        </w:rPr>
        <w:t>. 2019. Т.3. С.)</w:t>
      </w:r>
      <w:r w:rsidR="00721D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0B62" w:rsidRPr="00E56260" w:rsidRDefault="00240B62" w:rsidP="00E5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E5626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Христан</w:t>
      </w:r>
      <w:proofErr w:type="spellEnd"/>
      <w:r w:rsidRPr="00E5626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Назар</w:t>
      </w:r>
      <w:r w:rsidRPr="00E5626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основі комплексного аналізу періодичних видань, наукової літератури та візуальних джерел досліджує одну із найболючіших проблем сучасності - Пам’ять про Другу світову війну в історичній уяві сучасних буковинців. Автор переконливо доводить, що одним із визначальних факторів формування колективної та індивідуальної історичної пам’яті є не стільки пережитий досвід, проживання історичних подій, стільки нав’язування стереотипів та схем, що стало частиною ідеологічної діяльності комуністичної системи у повоєнний час. (</w:t>
      </w:r>
      <w:r w:rsidRPr="00E5626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5626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Науковий вісник Чернівецького національного університету імені Юрія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Федьковича</w:t>
      </w:r>
      <w:proofErr w:type="spellEnd"/>
      <w:r w:rsidRPr="00E5626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Історія. Том 1 № 51</w:t>
      </w:r>
      <w:r w:rsidR="001C5EF3" w:rsidRPr="00E5626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1C5EF3" w:rsidRPr="00E56260" w:rsidRDefault="001C5EF3" w:rsidP="00E5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Ще одне дослідження Назара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Христана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присвячено вивченню старожитностей літописного Василева.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Христан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Н.М. «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Memoria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» князівського саркофага із Василева // Вісник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2019.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Tом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3)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Центром проведено археологічні дослідження на низці пам’яток історико-культурної спадщини Чернівецької області, систематизовано, проаналізовано й опубліковано здобутий матеріал.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Польові дослідження проводилися </w:t>
      </w:r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Миколою </w:t>
      </w:r>
      <w:proofErr w:type="spellStart"/>
      <w:r w:rsidRPr="00E56260">
        <w:rPr>
          <w:rFonts w:ascii="Times New Roman" w:hAnsi="Times New Roman" w:cs="Times New Roman"/>
          <w:b/>
          <w:sz w:val="28"/>
          <w:szCs w:val="28"/>
          <w:lang w:val="uk-UA"/>
        </w:rPr>
        <w:t>Ільківим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Чорнівському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городищі ХІІІ ст. – одній з еталонних пам’яток княжої доби. Було виявлено більше півсотні предметів матеріальної та духовної культури цього часу: фрагменти керамічного посуду (в т.ч. з клеймом на денці), уламки візантійських амфор, наконечники лучних стріл і підвісні замки, риболовний гачок, орнаментовану накладку і застібки до пергаментних книг, намистини і скляні браслети тощо. Особливо інформативними є бронзова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підвіска-лунниця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із хрестом посередині та медальйон-іконка із рельєфним зображенням святого воїна (очевидно,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Феодора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). Він є важливою знахідкою як для території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Пруто-Дністровського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межиріччя, так і для усіх земель, які входили до складу Русі. Виявлений матеріал частково опублікований Миколою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Ільківим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у тезах доповідей ХІІ Буковинської міжнародної історико-краєзнавчої конференції (м. Чернівці, 2019 р.) та ІV Міжнародної науково-практичної конференції «Пам’ятки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Тустані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в контексті освоєння Карпат» (м. Львів, 2019 р.).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Вивчення матеріалів з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Чорнівського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Недобоївського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городищ дозволило вперше на українських середньовічних пам’ятках виділити такий елемент церковної культури як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звіздиці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що використовувалися при здійснені таїнства Євхаристії (опубліковано в матеріалах XVII Міжнародної наукової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конфернції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«Церква – наука – суспільство: питання взаємодії» (м. Київ, 2019 р.). На основі першої пам’ятки узагальнено та проаналізовано використання мечів у Галицькій Русі, з’ясовано їх походження, зокрема, балтське (опубліковано – збірник матеріалів ІХ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«Археологія &amp; Фортифікація України» (м. Кам’янець-Подільський, 2019 р.).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На основі знахідок, виявлених на слов’янському поселенні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Рідківці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(територія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Садгірського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лісництва), обґрунтовано використання залізних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брусків стандартизованої форми і розміру як немонетних форм грошей – «платила». На території Сілезії,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Мазовії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Чехії,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Малопольщі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, Моравії, Словаччини, Півночі Балкан вони відомі як «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наконечникоподібні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гривни», де теж датуються ІХ-Х ст. Це спонукає по-новому глянути на рівень соціально-економічно розвитку місцевого слов’янського населення.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Нову пам’ятку епохи пізньої бронзи з численним керамічними та металевим інвентарем виявлено в с. 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Стерче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Глибоччині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>. В Інституті археології проведено палеоботанічний аналіз зібраних на ній зразків. Новий об’єкт обстежено також в с. 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Мигове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– великий дископодібний камінь з давніми знаками та літерами. Такі старожитності використовувалися як особисті родові символи, межові знаки чи знаки власності, місця культу тощо.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Продовжувався пошук і вивчення старожитностей Хотина і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Хотинщини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Зокрема узагальнено нововиявлений матеріал Х-ХІ ст. з території Хотинської фортеці. Вперше серед археологічного матеріалу в регіоні виділено кам’яну порцеляну XVIII ст. На основі розшифровки клейма на посудині з’ясовано, що в ній перевозили всесвітньо відому воду з природною мінералізацією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Зельтерс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, видобуту в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курфюрстві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Трір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(сучасний Гессен, Німеччина). До Хотинської фортеці вона могла потрапити протягом 1788-1793 рр., коли ця територія входила до складу Хотинської марки Австрії. Визначено також серед знахідок XVIII ст. порцеляну китайського та японського виробництва.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Ідентифіковано та введено до наукового обігу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сфрагістичні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пам’ятки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Хотинщини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різних періодів як перспективні з точки зору розвитку музейної справи. Здійснено прочитання й аналіз двох кириличних надписів на камені кінця ХVІ – початку XVII ст. з Хотинського замку. 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У рамках роботи Центру підготовлена й опублікована монографія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Ільк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іва М. В. «Портативний сонячний годинник із Хотинської фортеці: атрибуція, особливості використання, просторово-часовий контекст». Книга присвячена одній знахідці – частині кишенькового сонячного годинника зі слонової кістки. У роботі подано реконструкцію приладу і з’ясовано принцип його роботи. Розглядаються питання про час і місце виготовлення (кінець XVI </w:t>
      </w:r>
      <w:r w:rsidRPr="00E56260">
        <w:rPr>
          <w:rFonts w:ascii="Times New Roman" w:hAnsi="Times New Roman" w:cs="Times New Roman"/>
          <w:sz w:val="28"/>
          <w:szCs w:val="28"/>
        </w:rPr>
        <w:t xml:space="preserve">–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t>середина XVII ст., м. Нюрнберг), авторство компасного годинника (майстер з родини Міллер). Подано коротку характеристику супровідного матеріалу та встановлено соціально-економічні й військово-політичні обставини використання приладу. На основі різних категорій джерел обґрунтовується застосування сонячних хронометрів на українських землях у Ранній Новий час, зокрема запорозькими козаками і кримськими татарами, зокрема під назвою «нюрнберзький квадрант».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продовжувалося вивчення старожитностей літописного Василева на Дністрі, зокрема проведено розвідку на місцевості та опрацьовано колекцію археологічних матеріалів у музеї с. Василів. На основі порівняльного аналізу археологічних, топонімічних і фольклорних даних з Василева підготовлено до Вісника Центру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Буковинознавства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статтю «Античний міф на берегах Дністра». Впродовж кінця ХІХ – середини ХХ ст. </w:t>
      </w:r>
      <w:r w:rsidRPr="00E562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с. Василів на Буковині були записані різні варіанти легенди про вправних майстрів, які звели монументальний храм і здійснили невдалу спробу втечі на зроблених власноруч крилах. Основою легенди став відомий давньогрецький міф про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Дедала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та Ікара, проте народна пам’ять зберегла також реальну інформацію про існування давнього міста на березі Дністра із могутнім замком і монументальною архітектурою, зокрема, величним кам’яним храмом.</w:t>
      </w:r>
    </w:p>
    <w:p w:rsidR="00EF1346" w:rsidRPr="00E56260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Позитивний результат дала організаційна робота, пов’язана з проведенням двох заходів: Міжнародної наукової конференції «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Per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aspera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ad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astra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» та ІІІ міжнародного наукового семінару «Археологія Буковини: здобутки та перспективи», присвячені 100-літньому ювілею відомого археолога Бориса </w:t>
      </w:r>
      <w:proofErr w:type="spellStart"/>
      <w:r w:rsidRPr="00E56260">
        <w:rPr>
          <w:rFonts w:ascii="Times New Roman" w:hAnsi="Times New Roman" w:cs="Times New Roman"/>
          <w:sz w:val="28"/>
          <w:szCs w:val="28"/>
          <w:lang w:val="uk-UA"/>
        </w:rPr>
        <w:t>Тимощука</w:t>
      </w:r>
      <w:proofErr w:type="spellEnd"/>
      <w:r w:rsidRPr="00E56260">
        <w:rPr>
          <w:rFonts w:ascii="Times New Roman" w:hAnsi="Times New Roman" w:cs="Times New Roman"/>
          <w:sz w:val="28"/>
          <w:szCs w:val="28"/>
          <w:lang w:val="uk-UA"/>
        </w:rPr>
        <w:t xml:space="preserve">. На основі вивчення археологічних старожитностей Чернівецької області налагодилася співпраця між співробітниками академічних установ, вищих і середніх навчальних закладів, працівниками музеї та адміністративних установ, краєзнавцями з різних куточків України, а також з Молдови, Румунії, Польщі, Угорщини, Австрії та Німеччини. У результаті зросла кількість міждисциплінарних пошуків: археологічні об’єкти краю стали предметом досліджень економістів, географів, біологів, фізиків. </w:t>
      </w:r>
    </w:p>
    <w:p w:rsidR="00EF1346" w:rsidRDefault="00EF1346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260">
        <w:rPr>
          <w:rFonts w:ascii="Times New Roman" w:hAnsi="Times New Roman" w:cs="Times New Roman"/>
          <w:sz w:val="28"/>
          <w:szCs w:val="28"/>
          <w:lang w:val="uk-UA"/>
        </w:rPr>
        <w:t>Археологічні пам’ятки Буковини та колекції старожитностей потребують збереження, подальшого вивчення і популяризації, тому що формують необхідний науковий базис для ґрунтовних досліджень, відзначаються вагомим туристичним потенціалом.</w:t>
      </w:r>
    </w:p>
    <w:p w:rsidR="00AD10E5" w:rsidRDefault="00AD10E5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0E5" w:rsidRPr="00E56260" w:rsidRDefault="00AD10E5" w:rsidP="00E5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346" w:rsidRPr="00E56260" w:rsidRDefault="00EF1346" w:rsidP="00E562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0E5" w:rsidRDefault="00AD10E5" w:rsidP="00AD10E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129E">
        <w:rPr>
          <w:rFonts w:ascii="Times New Roman" w:hAnsi="Times New Roman"/>
          <w:b/>
          <w:sz w:val="28"/>
          <w:szCs w:val="28"/>
        </w:rPr>
        <w:t xml:space="preserve">Директор Департаменту  </w:t>
      </w:r>
      <w:r>
        <w:rPr>
          <w:rFonts w:ascii="Times New Roman" w:hAnsi="Times New Roman"/>
          <w:b/>
          <w:sz w:val="28"/>
          <w:szCs w:val="28"/>
          <w:lang w:val="uk-UA"/>
        </w:rPr>
        <w:t>освіти і</w:t>
      </w:r>
    </w:p>
    <w:p w:rsidR="00AD10E5" w:rsidRPr="00AD10E5" w:rsidRDefault="00AD10E5" w:rsidP="00AD10E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науки облдержадміністрації</w:t>
      </w:r>
      <w:r w:rsidRPr="0081129E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Микола ХАРАТІН</w:t>
      </w:r>
    </w:p>
    <w:p w:rsidR="00EF1346" w:rsidRPr="00E56260" w:rsidRDefault="00EF1346" w:rsidP="00E5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1346" w:rsidRPr="00E56260" w:rsidSect="00613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A9"/>
    <w:rsid w:val="00003E14"/>
    <w:rsid w:val="00050BBD"/>
    <w:rsid w:val="0006210B"/>
    <w:rsid w:val="00062A91"/>
    <w:rsid w:val="0016423B"/>
    <w:rsid w:val="00167FB4"/>
    <w:rsid w:val="001B34F9"/>
    <w:rsid w:val="001C5EF3"/>
    <w:rsid w:val="00211ADC"/>
    <w:rsid w:val="00240B62"/>
    <w:rsid w:val="00271284"/>
    <w:rsid w:val="002939A6"/>
    <w:rsid w:val="00344602"/>
    <w:rsid w:val="00445D3A"/>
    <w:rsid w:val="004C41E0"/>
    <w:rsid w:val="00613A6D"/>
    <w:rsid w:val="00623B06"/>
    <w:rsid w:val="00707676"/>
    <w:rsid w:val="00721DC6"/>
    <w:rsid w:val="007B4685"/>
    <w:rsid w:val="00831B63"/>
    <w:rsid w:val="008C2CFB"/>
    <w:rsid w:val="008F11A9"/>
    <w:rsid w:val="00900366"/>
    <w:rsid w:val="00934A69"/>
    <w:rsid w:val="00A77B23"/>
    <w:rsid w:val="00AD10E5"/>
    <w:rsid w:val="00AE6912"/>
    <w:rsid w:val="00AF3B34"/>
    <w:rsid w:val="00B60E5C"/>
    <w:rsid w:val="00B834E5"/>
    <w:rsid w:val="00C1153B"/>
    <w:rsid w:val="00C578B6"/>
    <w:rsid w:val="00CA6EE8"/>
    <w:rsid w:val="00D71777"/>
    <w:rsid w:val="00E56260"/>
    <w:rsid w:val="00EA00E0"/>
    <w:rsid w:val="00EF1346"/>
    <w:rsid w:val="00F275F4"/>
    <w:rsid w:val="00F7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6D"/>
  </w:style>
  <w:style w:type="paragraph" w:styleId="2">
    <w:name w:val="heading 2"/>
    <w:basedOn w:val="a"/>
    <w:next w:val="a"/>
    <w:link w:val="20"/>
    <w:uiPriority w:val="9"/>
    <w:unhideWhenUsed/>
    <w:qFormat/>
    <w:rsid w:val="00AF3B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34E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F3B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6D"/>
  </w:style>
  <w:style w:type="paragraph" w:styleId="2">
    <w:name w:val="heading 2"/>
    <w:basedOn w:val="a"/>
    <w:next w:val="a"/>
    <w:link w:val="20"/>
    <w:uiPriority w:val="9"/>
    <w:unhideWhenUsed/>
    <w:qFormat/>
    <w:rsid w:val="00AF3B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34E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F3B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0370">
                  <w:marLeft w:val="0"/>
                  <w:marRight w:val="0"/>
                  <w:marTop w:val="15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7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6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364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8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76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95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6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0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27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923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6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47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15959</Words>
  <Characters>9098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2</cp:revision>
  <cp:lastPrinted>2020-04-29T06:40:00Z</cp:lastPrinted>
  <dcterms:created xsi:type="dcterms:W3CDTF">2020-05-04T12:59:00Z</dcterms:created>
  <dcterms:modified xsi:type="dcterms:W3CDTF">2020-05-04T12:59:00Z</dcterms:modified>
</cp:coreProperties>
</file>