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E6B" w:rsidRPr="00DB0715" w:rsidRDefault="005F3E6B" w:rsidP="00DB0715">
      <w:pPr>
        <w:spacing w:after="0" w:line="240" w:lineRule="auto"/>
        <w:ind w:left="5580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ЗАТВЕРДЖЕНО</w:t>
      </w:r>
    </w:p>
    <w:p w:rsidR="005F3E6B" w:rsidRPr="00DB0715" w:rsidRDefault="005F3E6B" w:rsidP="00DB0715">
      <w:pPr>
        <w:spacing w:after="0" w:line="240" w:lineRule="auto"/>
        <w:ind w:left="5580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 xml:space="preserve">рішення </w:t>
      </w:r>
      <w:r w:rsidR="007C4FD2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2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-ї сесії обласної ради V</w:t>
      </w:r>
      <w:r w:rsidR="00C21E73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І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ІI скликання</w:t>
      </w:r>
    </w:p>
    <w:p w:rsidR="005F3E6B" w:rsidRPr="00DB0715" w:rsidRDefault="005F3E6B" w:rsidP="00DB0715">
      <w:pPr>
        <w:spacing w:after="0" w:line="240" w:lineRule="auto"/>
        <w:ind w:left="5580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 xml:space="preserve">від </w:t>
      </w:r>
      <w:r w:rsidR="00C21E73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30.03.2021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 xml:space="preserve"> р. № </w:t>
      </w:r>
      <w:r w:rsidR="00C21E73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33-2/21</w:t>
      </w:r>
    </w:p>
    <w:p w:rsidR="005F3E6B" w:rsidRPr="00DB0715" w:rsidRDefault="005F3E6B" w:rsidP="00DB0715">
      <w:pPr>
        <w:spacing w:after="0" w:line="240" w:lineRule="auto"/>
        <w:ind w:left="5103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                       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 xml:space="preserve">      </w:t>
      </w: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spacing w:after="0" w:line="24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A97335" w:rsidP="00DB0715">
      <w:pPr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КОМПЛЕКСНА</w:t>
      </w:r>
      <w:r w:rsidR="005F3E6B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 xml:space="preserve"> ПРОГРАМА</w:t>
      </w:r>
    </w:p>
    <w:p w:rsidR="005F3E6B" w:rsidRPr="00DB0715" w:rsidRDefault="005F3E6B" w:rsidP="00DB0715">
      <w:pPr>
        <w:spacing w:after="0" w:line="240" w:lineRule="auto"/>
        <w:ind w:right="-365" w:hanging="180"/>
        <w:jc w:val="center"/>
        <w:rPr>
          <w:rFonts w:ascii="Times New Roman" w:eastAsia="Times New Roman" w:hAnsi="Times New Roman"/>
          <w:b/>
          <w:bCs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bCs/>
          <w:kern w:val="2"/>
          <w:sz w:val="28"/>
          <w:szCs w:val="28"/>
          <w:lang w:val="uk-UA" w:eastAsia="ru-RU"/>
        </w:rPr>
        <w:t>розвитку освітньої галузі</w:t>
      </w:r>
    </w:p>
    <w:p w:rsidR="005F3E6B" w:rsidRPr="00DB0715" w:rsidRDefault="005F3E6B" w:rsidP="00DB0715">
      <w:pPr>
        <w:spacing w:after="0" w:line="240" w:lineRule="auto"/>
        <w:ind w:right="-365" w:hanging="18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bCs/>
          <w:kern w:val="2"/>
          <w:sz w:val="28"/>
          <w:szCs w:val="28"/>
          <w:lang w:val="uk-UA" w:eastAsia="ru-RU"/>
        </w:rPr>
        <w:t>Чернівецької області на 2018 – 202</w:t>
      </w:r>
      <w:r w:rsidR="007F3A38" w:rsidRPr="00DB0715">
        <w:rPr>
          <w:rFonts w:ascii="Times New Roman" w:eastAsia="Times New Roman" w:hAnsi="Times New Roman"/>
          <w:b/>
          <w:bCs/>
          <w:kern w:val="2"/>
          <w:sz w:val="28"/>
          <w:szCs w:val="28"/>
          <w:lang w:val="uk-UA" w:eastAsia="ru-RU"/>
        </w:rPr>
        <w:t>2</w:t>
      </w:r>
      <w:r w:rsidRPr="00DB0715">
        <w:rPr>
          <w:rFonts w:ascii="Times New Roman" w:eastAsia="Times New Roman" w:hAnsi="Times New Roman"/>
          <w:b/>
          <w:bCs/>
          <w:kern w:val="2"/>
          <w:sz w:val="28"/>
          <w:szCs w:val="28"/>
          <w:lang w:val="uk-UA" w:eastAsia="ru-RU"/>
        </w:rPr>
        <w:t xml:space="preserve"> роки</w:t>
      </w:r>
    </w:p>
    <w:p w:rsidR="005F3E6B" w:rsidRPr="00DB0715" w:rsidRDefault="00C21E73" w:rsidP="00DB0715">
      <w:pPr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(в новій редакції)</w:t>
      </w: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7C4FD2" w:rsidRPr="00DB0715" w:rsidRDefault="007C4FD2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7C4FD2" w:rsidRPr="00DB0715" w:rsidRDefault="007C4FD2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2958D7" w:rsidRPr="00DB0715" w:rsidRDefault="005F3E6B" w:rsidP="00DB0715">
      <w:pPr>
        <w:tabs>
          <w:tab w:val="left" w:pos="920"/>
        </w:tabs>
        <w:spacing w:after="0" w:line="240" w:lineRule="auto"/>
        <w:ind w:left="920" w:right="-365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 xml:space="preserve">                              </w:t>
      </w:r>
    </w:p>
    <w:p w:rsidR="00C874F3" w:rsidRPr="00DB0715" w:rsidRDefault="005F3E6B" w:rsidP="00DB0715">
      <w:pPr>
        <w:tabs>
          <w:tab w:val="left" w:pos="920"/>
        </w:tabs>
        <w:spacing w:after="0" w:line="240" w:lineRule="auto"/>
        <w:ind w:right="-365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м. Чернівці</w:t>
      </w:r>
    </w:p>
    <w:p w:rsidR="005F3E6B" w:rsidRPr="00DB0715" w:rsidRDefault="005F3E6B" w:rsidP="00DB0715">
      <w:pPr>
        <w:tabs>
          <w:tab w:val="left" w:pos="920"/>
        </w:tabs>
        <w:spacing w:after="0" w:line="240" w:lineRule="auto"/>
        <w:ind w:right="-365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20</w:t>
      </w:r>
      <w:r w:rsidR="00C21E73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21</w:t>
      </w:r>
    </w:p>
    <w:p w:rsidR="005F3E6B" w:rsidRPr="00DB0715" w:rsidRDefault="005F3E6B" w:rsidP="00DB0715">
      <w:pPr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6659FD" w:rsidRPr="00DB0715" w:rsidRDefault="006659FD" w:rsidP="00DB0715">
      <w:pPr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5F3E6B" w:rsidRPr="00DB0715" w:rsidRDefault="005F3E6B" w:rsidP="00DB0715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lastRenderedPageBreak/>
        <w:t>Загальна характеристика Комплексної програми</w:t>
      </w:r>
    </w:p>
    <w:tbl>
      <w:tblPr>
        <w:tblW w:w="99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780"/>
        <w:gridCol w:w="5400"/>
      </w:tblGrid>
      <w:tr w:rsidR="0048637C" w:rsidRPr="00A36B98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 xml:space="preserve">Ініціатор розроблення програми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Департамент освіти і науки Чернівецької облдержадміністрації</w:t>
            </w:r>
          </w:p>
        </w:tc>
      </w:tr>
      <w:tr w:rsidR="0048637C" w:rsidRPr="00A36B98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hAnsi="Times New Roman"/>
                <w:kern w:val="2"/>
                <w:sz w:val="28"/>
                <w:szCs w:val="28"/>
                <w:lang w:val="uk-UA" w:eastAsia="ru-RU"/>
              </w:rPr>
              <w:t xml:space="preserve">Закон України «Про освіту», </w:t>
            </w:r>
            <w:r w:rsidR="00450684" w:rsidRPr="00DB0715">
              <w:rPr>
                <w:rFonts w:ascii="Times New Roman" w:hAnsi="Times New Roman"/>
                <w:kern w:val="2"/>
                <w:sz w:val="28"/>
                <w:szCs w:val="28"/>
                <w:lang w:val="uk-UA" w:eastAsia="ru-RU"/>
              </w:rPr>
              <w:t>Закон України «Про повну загальну середню освіту»,</w:t>
            </w:r>
            <w:r w:rsidR="00324DE6" w:rsidRPr="00DB0715">
              <w:rPr>
                <w:rFonts w:ascii="Times New Roman" w:hAnsi="Times New Roman"/>
                <w:kern w:val="2"/>
                <w:sz w:val="28"/>
                <w:szCs w:val="28"/>
                <w:lang w:val="uk-UA"/>
              </w:rPr>
              <w:t xml:space="preserve"> </w:t>
            </w:r>
            <w:r w:rsidR="009272ED" w:rsidRPr="00DB0715">
              <w:rPr>
                <w:rFonts w:ascii="Times New Roman" w:hAnsi="Times New Roman"/>
                <w:kern w:val="2"/>
                <w:sz w:val="28"/>
                <w:szCs w:val="28"/>
                <w:lang w:val="uk-UA"/>
              </w:rPr>
              <w:t xml:space="preserve">Положення про дистанційну форму здобуття повної загальної середньої освіти, затверджено наказом МОН від 8 вересня 2020 року №1115, </w:t>
            </w:r>
            <w:r w:rsidR="00450684" w:rsidRPr="00DB0715">
              <w:rPr>
                <w:rFonts w:ascii="Times New Roman" w:hAnsi="Times New Roman"/>
                <w:kern w:val="2"/>
                <w:sz w:val="28"/>
                <w:szCs w:val="28"/>
                <w:lang w:val="uk-UA"/>
              </w:rPr>
              <w:t>Стратегія розвитку Чернівецької області на період до 2027 року, затверджена рішенням 36-ї сесії обласної ради VІІ скликання від 04.02.2020 р. № 1-36/20, План заходів з реалізації у 2021 ‒ 2023 роках Стратегії розвитку Чернівецької області на період до 2027 року, затверджений рішенням 36-ї сесії обласної ради VІІ скликання від 04.02.2020 р. № 2-36/20</w:t>
            </w:r>
          </w:p>
        </w:tc>
      </w:tr>
      <w:tr w:rsidR="0048637C" w:rsidRPr="00A36B98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Департамент освіти і науки Чернівецької облдержадміністрації</w:t>
            </w:r>
          </w:p>
        </w:tc>
      </w:tr>
      <w:tr w:rsidR="0048637C" w:rsidRPr="00A36B98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Відповідальний виконавець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Департамент освіти і науки Чернівецької облдержадміністрації</w:t>
            </w:r>
          </w:p>
        </w:tc>
      </w:tr>
      <w:tr w:rsidR="0048637C" w:rsidRPr="00DB0715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2018– 202</w:t>
            </w:r>
            <w:r w:rsidR="006659FD"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2</w:t>
            </w: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 xml:space="preserve"> роки</w:t>
            </w:r>
          </w:p>
        </w:tc>
      </w:tr>
      <w:tr w:rsidR="0048637C" w:rsidRPr="00DB0715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37C" w:rsidRPr="00DB0715" w:rsidRDefault="0048637C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Державний бюджет</w:t>
            </w:r>
          </w:p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Обласний бюджет</w:t>
            </w:r>
          </w:p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Місцеві бюджети</w:t>
            </w:r>
          </w:p>
        </w:tc>
      </w:tr>
      <w:tr w:rsidR="0048637C" w:rsidRPr="00DB0715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B03DD7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 xml:space="preserve">297969,0 </w:t>
            </w:r>
            <w:r w:rsidR="00BC6323" w:rsidRPr="00DB0715">
              <w:rPr>
                <w:rFonts w:ascii="Times New Roman" w:eastAsia="Times New Roman" w:hAnsi="Times New Roman"/>
                <w:kern w:val="2"/>
                <w:sz w:val="27"/>
                <w:szCs w:val="27"/>
                <w:lang w:val="uk-UA" w:eastAsia="ru-RU"/>
              </w:rPr>
              <w:t>тис. грн.</w:t>
            </w:r>
          </w:p>
        </w:tc>
      </w:tr>
      <w:tr w:rsidR="0048637C" w:rsidRPr="00DB0715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7.1.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в тому числі бюджетних коштів, з них: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E6B" w:rsidRPr="00DB0715" w:rsidRDefault="005F3E6B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</w:p>
        </w:tc>
      </w:tr>
      <w:tr w:rsidR="0048637C" w:rsidRPr="00DB0715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7.2.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кошти державного бюджету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B03DD7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>1000,0 тис. грн.</w:t>
            </w:r>
          </w:p>
        </w:tc>
      </w:tr>
      <w:tr w:rsidR="0048637C" w:rsidRPr="00DB0715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7.3.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кошти обласного бюджету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B03DD7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7"/>
                <w:szCs w:val="27"/>
                <w:lang w:val="uk-UA" w:eastAsia="ru-RU"/>
              </w:rPr>
              <w:t xml:space="preserve">13444,9 </w:t>
            </w:r>
            <w:r w:rsidR="00071CDB" w:rsidRPr="00DB0715">
              <w:rPr>
                <w:rFonts w:ascii="Times New Roman" w:eastAsia="Times New Roman" w:hAnsi="Times New Roman"/>
                <w:kern w:val="2"/>
                <w:sz w:val="27"/>
                <w:szCs w:val="27"/>
                <w:lang w:val="uk-UA" w:eastAsia="ru-RU"/>
              </w:rPr>
              <w:t>тис. грн.</w:t>
            </w:r>
          </w:p>
        </w:tc>
      </w:tr>
      <w:tr w:rsidR="0048637C" w:rsidRPr="00DB0715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7.4.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кошти місцевих бюджетів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B03DD7" w:rsidP="00DB071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7"/>
                <w:szCs w:val="27"/>
                <w:lang w:val="uk-UA" w:eastAsia="ru-RU"/>
              </w:rPr>
              <w:t xml:space="preserve">283524,1 </w:t>
            </w:r>
            <w:r w:rsidR="00071CDB" w:rsidRPr="00DB0715">
              <w:rPr>
                <w:rFonts w:ascii="Times New Roman" w:eastAsia="Times New Roman" w:hAnsi="Times New Roman"/>
                <w:kern w:val="2"/>
                <w:sz w:val="27"/>
                <w:szCs w:val="27"/>
                <w:lang w:val="uk-UA" w:eastAsia="ru-RU"/>
              </w:rPr>
              <w:t>тис. грн.</w:t>
            </w:r>
          </w:p>
        </w:tc>
      </w:tr>
      <w:tr w:rsidR="0048637C" w:rsidRPr="00DB0715" w:rsidTr="007C4FD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DB07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DB071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uk-UA" w:eastAsia="ru-RU"/>
              </w:rPr>
              <w:t>Основні джерела фінансування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CDB" w:rsidRPr="00DB0715" w:rsidRDefault="00071CDB" w:rsidP="00895E55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</w:pPr>
            <w:r w:rsidRPr="00DB0715">
              <w:rPr>
                <w:rFonts w:ascii="Times New Roman" w:eastAsia="Times New Roman" w:hAnsi="Times New Roman"/>
                <w:kern w:val="2"/>
                <w:sz w:val="28"/>
                <w:szCs w:val="28"/>
                <w:lang w:val="uk-UA" w:eastAsia="ru-RU"/>
              </w:rPr>
              <w:t xml:space="preserve">державний бюджет, обласний бюджет, місцеві бюджети </w:t>
            </w:r>
            <w:r w:rsidRPr="00DB0715">
              <w:rPr>
                <w:rFonts w:ascii="Times New Roman" w:hAnsi="Times New Roman"/>
                <w:kern w:val="2"/>
                <w:sz w:val="28"/>
                <w:szCs w:val="28"/>
                <w:lang w:val="uk-UA"/>
              </w:rPr>
              <w:t>(районні бюджети, бюджети міст обласного значення, бюджети ТГ)</w:t>
            </w:r>
          </w:p>
        </w:tc>
      </w:tr>
    </w:tbl>
    <w:p w:rsidR="005F3E6B" w:rsidRPr="00DB0715" w:rsidRDefault="005F3E6B" w:rsidP="00DB0715">
      <w:pPr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5F3E6B" w:rsidRDefault="005F3E6B" w:rsidP="00DB0715">
      <w:pPr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312744" w:rsidRPr="00312744" w:rsidRDefault="00312744" w:rsidP="00DB0715">
      <w:pPr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5F3E6B" w:rsidRPr="00DB0715" w:rsidRDefault="005F3E6B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lastRenderedPageBreak/>
        <w:t>ІІ. Визначення основних проблем, на розв’язання</w:t>
      </w:r>
    </w:p>
    <w:p w:rsidR="005F3E6B" w:rsidRPr="00DB0715" w:rsidRDefault="005F3E6B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яких спрямована Програма</w:t>
      </w:r>
    </w:p>
    <w:p w:rsidR="006879B7" w:rsidRPr="00DB0715" w:rsidRDefault="006879B7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</w:p>
    <w:p w:rsidR="00C21E73" w:rsidRPr="00DB0715" w:rsidRDefault="005F3E6B" w:rsidP="00DB0715">
      <w:pPr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Програма розроблена відповідно до Конституції України, 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Конвенції ООН про права дитини, </w:t>
      </w:r>
      <w:r w:rsidR="00B61B19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законів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У</w:t>
      </w:r>
      <w:r w:rsidR="00B61B19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країни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«Про освіту»</w:t>
      </w:r>
      <w:r w:rsidR="00E828B4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(в новій редакції)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,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«П</w:t>
      </w:r>
      <w:r w:rsidR="00B61B19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ро загальну середню освіту», 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>«Про професійно-технічн</w:t>
      </w:r>
      <w:r w:rsidR="005A149E" w:rsidRPr="00DB0715">
        <w:rPr>
          <w:rFonts w:ascii="Times New Roman" w:hAnsi="Times New Roman"/>
          <w:kern w:val="2"/>
          <w:sz w:val="28"/>
          <w:szCs w:val="28"/>
          <w:lang w:val="uk-UA"/>
        </w:rPr>
        <w:t>у</w:t>
      </w:r>
      <w:r w:rsidR="00BA5ED4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освіту», «Про вищу освіту», «Про наукову і науково-технічну діяльність», «Про пріоритетні напрями інноваційної діяльності в Україні»;</w:t>
      </w:r>
      <w:r w:rsidR="00BC5BE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B61B19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Концепції</w:t>
      </w:r>
      <w:r w:rsidR="00E828B4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B61B19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реаліз</w:t>
      </w:r>
      <w:r w:rsidR="00BC5BE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ації державної політики у сфері </w:t>
      </w:r>
      <w:r w:rsidR="00B61B19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реформування</w:t>
      </w:r>
      <w:r w:rsidR="00C21E73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B61B19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загальної середньої освіти «Нова українська школа»</w:t>
      </w:r>
      <w:r w:rsidR="00C21E73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E828B4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на період до </w:t>
      </w:r>
      <w:r w:rsidR="00B61B19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2029 року, схваленої розпорядженням Кабінету Міністрів України </w:t>
      </w:r>
      <w:r w:rsidR="00E828B4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від 14 грудня </w:t>
      </w:r>
      <w:r w:rsidR="00B61B19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2016 р. № 988-р</w:t>
      </w:r>
      <w:r w:rsidR="00BA5ED4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, розпорядження Чернівецької о</w:t>
      </w:r>
      <w:r w:rsidR="00971EAC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бласної державної адміністрації</w:t>
      </w:r>
      <w:r w:rsidR="00BA5ED4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971EAC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від 22.01.2018 № 51-р «Про затвердження плану заходів на 2018-2029 роки із запровадження Концепції реалізації державної політики у сфері реформування загальної середньої освіти «Нова українська школа»</w:t>
      </w:r>
      <w:r w:rsidR="00C21E73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971EAC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в Чернівецькій області»</w:t>
      </w:r>
      <w:r w:rsidR="00324DE6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; </w:t>
      </w:r>
      <w:proofErr w:type="spellStart"/>
      <w:r w:rsidR="00324DE6" w:rsidRPr="00DB0715">
        <w:rPr>
          <w:rFonts w:ascii="Times New Roman" w:hAnsi="Times New Roman"/>
          <w:kern w:val="2"/>
          <w:sz w:val="28"/>
          <w:szCs w:val="28"/>
          <w:lang w:val="uk-UA"/>
        </w:rPr>
        <w:t>Стратегіі</w:t>
      </w:r>
      <w:proofErr w:type="spellEnd"/>
      <w:r w:rsidR="00324DE6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розвитку Чернівецької області на період до 2020 року, затверджена рішенням 31-ї сесії обласної ради </w:t>
      </w:r>
      <w:r w:rsidR="00324DE6" w:rsidRPr="00DB0715">
        <w:rPr>
          <w:rFonts w:ascii="Times New Roman" w:hAnsi="Times New Roman"/>
          <w:kern w:val="2"/>
          <w:sz w:val="28"/>
          <w:szCs w:val="28"/>
        </w:rPr>
        <w:t>V</w:t>
      </w:r>
      <w:r w:rsidR="00324DE6" w:rsidRPr="00DB0715">
        <w:rPr>
          <w:rFonts w:ascii="Times New Roman" w:hAnsi="Times New Roman"/>
          <w:kern w:val="2"/>
          <w:sz w:val="28"/>
          <w:szCs w:val="28"/>
          <w:lang w:val="uk-UA"/>
        </w:rPr>
        <w:t>І скликання від 18.06.2015 № 63-31/15, плану заходів з реалізації у 2018-2020 роках Стратегії розвитку Чернівецької області на період до 2020 року</w:t>
      </w:r>
      <w:r w:rsidR="00C21E73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.</w:t>
      </w:r>
    </w:p>
    <w:p w:rsidR="00153D5B" w:rsidRPr="00DB0715" w:rsidRDefault="00E828B4" w:rsidP="00DB0715">
      <w:pPr>
        <w:spacing w:after="0"/>
        <w:ind w:firstLine="851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Комплексна </w:t>
      </w:r>
      <w:r w:rsidR="00C874F3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програма 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розвитку освітньої галузі Чернівецької області на 2018-2022 рр. базується на основних операційних цілях та завданнях, визначених </w:t>
      </w:r>
      <w:r w:rsidR="007F3A38" w:rsidRPr="00DB0715">
        <w:rPr>
          <w:rFonts w:ascii="Times New Roman" w:hAnsi="Times New Roman"/>
          <w:kern w:val="2"/>
          <w:sz w:val="28"/>
          <w:szCs w:val="28"/>
          <w:lang w:val="uk-UA"/>
        </w:rPr>
        <w:t>Стратегі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>єю</w:t>
      </w:r>
      <w:r w:rsidR="007F3A38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розвитку Чернівецької області на </w:t>
      </w:r>
      <w:r w:rsidR="00C874F3" w:rsidRPr="00DB0715">
        <w:rPr>
          <w:rFonts w:ascii="Times New Roman" w:hAnsi="Times New Roman"/>
          <w:kern w:val="2"/>
          <w:sz w:val="28"/>
          <w:szCs w:val="28"/>
          <w:lang w:val="uk-UA"/>
        </w:rPr>
        <w:t>період до 2020 року, затвердженою</w:t>
      </w:r>
      <w:r w:rsidR="007F3A38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рішенням 31-ї сесії обласної ради </w:t>
      </w:r>
      <w:r w:rsidR="007F3A38" w:rsidRPr="00DB0715">
        <w:rPr>
          <w:rFonts w:ascii="Times New Roman" w:hAnsi="Times New Roman"/>
          <w:kern w:val="2"/>
          <w:sz w:val="28"/>
          <w:szCs w:val="28"/>
        </w:rPr>
        <w:t>V</w:t>
      </w:r>
      <w:r w:rsidR="007F3A38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І скликання від 18.06.2015 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     </w:t>
      </w:r>
      <w:r w:rsidR="007F3A38" w:rsidRPr="00DB0715">
        <w:rPr>
          <w:rFonts w:ascii="Times New Roman" w:hAnsi="Times New Roman"/>
          <w:kern w:val="2"/>
          <w:sz w:val="28"/>
          <w:szCs w:val="28"/>
          <w:lang w:val="uk-UA"/>
        </w:rPr>
        <w:t>№ 63-31/15.</w:t>
      </w:r>
    </w:p>
    <w:p w:rsidR="00E95246" w:rsidRPr="00DB0715" w:rsidRDefault="006F0D62" w:rsidP="00DB0715">
      <w:pPr>
        <w:spacing w:after="0"/>
        <w:ind w:firstLine="851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С</w:t>
      </w:r>
      <w:r w:rsidR="007F3A38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учасні </w:t>
      </w:r>
      <w:proofErr w:type="spellStart"/>
      <w:r w:rsidR="007F3A3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г</w:t>
      </w:r>
      <w:r w:rsidR="005A149E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лобалізаці</w:t>
      </w:r>
      <w:r w:rsidR="00E03E8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йні</w:t>
      </w:r>
      <w:proofErr w:type="spellEnd"/>
      <w:r w:rsidR="00E03E8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процеси</w:t>
      </w:r>
      <w:r w:rsidR="007F3A3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, </w:t>
      </w:r>
      <w:r w:rsidR="00186C67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перехід до</w:t>
      </w:r>
      <w:r w:rsidR="005A149E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інформаційног</w:t>
      </w:r>
      <w:r w:rsidR="007F3A3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о суспільства</w:t>
      </w:r>
      <w:r w:rsidR="005A149E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7F3A3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та європейський вибір України ставлять перед країною </w:t>
      </w:r>
      <w:r w:rsidR="00071CDB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завдання</w:t>
      </w:r>
      <w:r w:rsidR="007F3A3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83197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забезпеч</w:t>
      </w:r>
      <w:r w:rsidR="00071CDB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ення</w:t>
      </w:r>
      <w:r w:rsidR="005A149E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7F3A3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пріоритетн</w:t>
      </w:r>
      <w:r w:rsidR="00071CDB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ості</w:t>
      </w:r>
      <w:r w:rsidR="00BC5BE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розвитку освіти і </w:t>
      </w:r>
      <w:r w:rsidR="005A149E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науки, першочергов</w:t>
      </w:r>
      <w:r w:rsidR="00071CDB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ого</w:t>
      </w:r>
      <w:r w:rsidR="005A149E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7F3A3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формування </w:t>
      </w:r>
      <w:r w:rsidR="00D845DC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людського капіталу держави, який залежить від високого рівня освіти і </w:t>
      </w:r>
      <w:r w:rsidR="004F69D9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набуття професійн</w:t>
      </w:r>
      <w:r w:rsidR="00E95246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их </w:t>
      </w:r>
      <w:proofErr w:type="spellStart"/>
      <w:r w:rsidR="00E95246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компетентностей</w:t>
      </w:r>
      <w:proofErr w:type="spellEnd"/>
      <w:r w:rsidR="004F69D9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 </w:t>
      </w:r>
      <w:r w:rsidR="00D845DC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молодого покоління</w:t>
      </w:r>
      <w:bookmarkStart w:id="0" w:name="o16"/>
      <w:bookmarkEnd w:id="0"/>
      <w:r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.</w:t>
      </w:r>
      <w:r w:rsidR="00831978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</w:t>
      </w:r>
    </w:p>
    <w:p w:rsidR="00BA7F5B" w:rsidRPr="00DB0715" w:rsidRDefault="00441DDF" w:rsidP="00DB071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Зниження показників України у міжнародних дослідженнях конкурентоспроможності та інноваційної привабливості; збільшення частки молоді, яка здобуває освіту за кордоном та недостатня мотивація її до освіти</w:t>
      </w:r>
      <w:r w:rsidR="00BA7F5B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;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BA7F5B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незадовільне матеріально-технічне забезпечення шкіл; застарілі зміст освіти та методики викладання</w:t>
      </w:r>
      <w:r w:rsidR="00BA5ED4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;</w:t>
      </w:r>
      <w:r w:rsidR="00BA7F5B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зменшення обсягів фінансування освітньої галузі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форму</w:t>
      </w:r>
      <w:r w:rsidR="00A9733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ють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загальнодержавну тенденцію до погіршення якості освіти. </w:t>
      </w:r>
    </w:p>
    <w:p w:rsidR="00312744" w:rsidRDefault="00BA7F5B" w:rsidP="00DB071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bCs/>
          <w:kern w:val="2"/>
          <w:sz w:val="28"/>
          <w:szCs w:val="28"/>
          <w:lang w:val="uk-UA" w:eastAsia="uk-UA"/>
        </w:rPr>
        <w:t>Концепція реалізації державної політики у сфері реформування загальної середньої освіти «Нова українська школа» на період до 2029 року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4C55B7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та прийнятий закон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У</w:t>
      </w:r>
      <w:r w:rsidR="004C55B7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країни</w:t>
      </w:r>
      <w:r w:rsidR="005A1D36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«Про освіту»</w:t>
      </w:r>
      <w:r w:rsidR="00441DD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покликані сприяти подоланню </w:t>
      </w:r>
      <w:r w:rsidR="00441DD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негативних тенденцій, забезпеченню соціальної рівності та згуртованості, економічного розвитку і конкурентоспроможності держави.</w:t>
      </w:r>
    </w:p>
    <w:p w:rsidR="0001336F" w:rsidRPr="00DB0715" w:rsidRDefault="005A1D36" w:rsidP="00DB071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lastRenderedPageBreak/>
        <w:t>Нова українська школа</w:t>
      </w:r>
      <w:r w:rsidR="0048637C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01336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передбачає низку новацій, зокрема: створення сучасного освітнього середовища; </w:t>
      </w:r>
      <w:r w:rsidR="00C874F3" w:rsidRPr="00DB0715">
        <w:rPr>
          <w:rFonts w:ascii="Times New Roman" w:hAnsi="Times New Roman"/>
          <w:kern w:val="2"/>
          <w:sz w:val="28"/>
          <w:szCs w:val="28"/>
          <w:lang w:val="uk-UA"/>
        </w:rPr>
        <w:t>формування</w:t>
      </w:r>
      <w:r w:rsidR="0001336F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</w:t>
      </w:r>
      <w:proofErr w:type="spellStart"/>
      <w:r w:rsidR="0001336F" w:rsidRPr="00DB0715">
        <w:rPr>
          <w:rFonts w:ascii="Times New Roman" w:hAnsi="Times New Roman"/>
          <w:kern w:val="2"/>
          <w:sz w:val="28"/>
          <w:szCs w:val="28"/>
          <w:lang w:val="uk-UA"/>
        </w:rPr>
        <w:t>компетентностей</w:t>
      </w:r>
      <w:proofErr w:type="spellEnd"/>
      <w:r w:rsidR="0001336F" w:rsidRPr="00DB0715">
        <w:rPr>
          <w:rFonts w:ascii="Times New Roman" w:hAnsi="Times New Roman"/>
          <w:kern w:val="2"/>
          <w:sz w:val="28"/>
          <w:szCs w:val="28"/>
          <w:lang w:val="uk-UA"/>
        </w:rPr>
        <w:t>, необхідних для успішної само</w:t>
      </w:r>
      <w:r w:rsidR="00C874F3" w:rsidRPr="00DB0715">
        <w:rPr>
          <w:rFonts w:ascii="Times New Roman" w:hAnsi="Times New Roman"/>
          <w:kern w:val="2"/>
          <w:sz w:val="28"/>
          <w:szCs w:val="28"/>
          <w:lang w:val="uk-UA"/>
        </w:rPr>
        <w:t>реалізації дитини в суспільстві</w:t>
      </w:r>
      <w:r w:rsidR="0001336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впровадження нового змісту та структури школи, </w:t>
      </w:r>
      <w:r w:rsidR="0001336F" w:rsidRPr="00DB0715">
        <w:rPr>
          <w:rFonts w:ascii="Times New Roman" w:hAnsi="Times New Roman"/>
          <w:kern w:val="2"/>
          <w:sz w:val="28"/>
          <w:szCs w:val="28"/>
          <w:lang w:val="uk-UA"/>
        </w:rPr>
        <w:t>які дозволять добре засвоювати новий зміст і набути компетентності для життя</w:t>
      </w:r>
      <w:r w:rsidR="0001336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; орієнтацію на учнів та педагогіку партнерства; </w:t>
      </w:r>
      <w:r w:rsidR="0001336F" w:rsidRPr="00DB0715">
        <w:rPr>
          <w:rFonts w:ascii="Times New Roman" w:hAnsi="Times New Roman"/>
          <w:kern w:val="2"/>
          <w:sz w:val="28"/>
          <w:szCs w:val="28"/>
          <w:lang w:val="uk-UA"/>
        </w:rPr>
        <w:t>наявність умотивованого учителя, який має свободу творчості й розвивається професійно;</w:t>
      </w:r>
      <w:r w:rsidR="0001336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автономію школи та справедливе фінансування тощо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.</w:t>
      </w:r>
    </w:p>
    <w:p w:rsidR="006659FD" w:rsidRPr="00DB0715" w:rsidRDefault="0001336F" w:rsidP="00DB071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Фундаментальна</w:t>
      </w:r>
      <w:r w:rsidR="00831978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 </w:t>
      </w:r>
      <w:r w:rsidR="00831978" w:rsidRPr="00DB0715">
        <w:rPr>
          <w:rFonts w:ascii="Times New Roman" w:eastAsia="Times New Roman" w:hAnsi="Times New Roman"/>
          <w:bCs/>
          <w:kern w:val="2"/>
          <w:sz w:val="28"/>
          <w:szCs w:val="28"/>
          <w:lang w:val="uk-UA" w:eastAsia="uk-UA"/>
        </w:rPr>
        <w:t>реформа загальної середньої освіти в Україні, як необхідний чинник суспільних перетворень,</w:t>
      </w:r>
      <w:r w:rsidR="0083197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регламентує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необхідність</w:t>
      </w:r>
      <w:r w:rsidR="0083197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розроблення та прийняття </w:t>
      </w:r>
      <w:r w:rsidR="00BF0A6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Комплексної програми</w:t>
      </w:r>
      <w:r w:rsidR="00E95246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розвитку освітньої галузі Чернівецької області, </w:t>
      </w:r>
      <w:r w:rsidR="00E95246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необхідного для досягнення </w:t>
      </w:r>
      <w:r w:rsidR="00BF0A6F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визначених державою</w:t>
      </w:r>
      <w:r w:rsidR="00E95246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 цілей шляхом координ</w:t>
      </w:r>
      <w:r w:rsidR="00BF0A6F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ації та розподілу фінансових і </w:t>
      </w:r>
      <w:r w:rsidR="00E95246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людських ресурсів</w:t>
      </w:r>
      <w:r w:rsidR="0083197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.</w:t>
      </w:r>
      <w:r w:rsidR="006659FD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</w:p>
    <w:p w:rsidR="006F0D62" w:rsidRPr="00DB0715" w:rsidRDefault="006659FD" w:rsidP="00DB0715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Комплексна </w:t>
      </w:r>
      <w:r w:rsidR="0033767F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програма 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>розвитку освітньої галузі Чернівецької області на 2018-2022 рр.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A5616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повинна сприяти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т</w:t>
      </w:r>
      <w:r w:rsidR="00A5616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рансформації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зміст</w:t>
      </w:r>
      <w:r w:rsidR="00A5616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у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освіти </w:t>
      </w:r>
      <w:r w:rsidR="00BA5ED4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відповідно до  Концепції 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«Нова українська школа»</w:t>
      </w:r>
      <w:r w:rsidR="00BA5ED4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A5616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та створити умови для постійного її оновлення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відповідно до </w:t>
      </w:r>
      <w:r w:rsidR="00A5616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нових вимог та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потреб громадян</w:t>
      </w:r>
      <w:r w:rsidR="00A5616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, і як результат –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перетворити освіту </w:t>
      </w:r>
      <w:r w:rsidR="00A56165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в потужний інтелектуальний капітал розвитку економічного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потенціалу Чернівецької області.</w:t>
      </w:r>
    </w:p>
    <w:p w:rsidR="005F3E6B" w:rsidRPr="00DB0715" w:rsidRDefault="005F3E6B" w:rsidP="00DB0715">
      <w:pPr>
        <w:spacing w:after="0"/>
        <w:ind w:firstLine="851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eastAsiaTheme="minorHAnsi" w:hAnsi="Times New Roman"/>
          <w:kern w:val="2"/>
          <w:sz w:val="28"/>
          <w:szCs w:val="28"/>
          <w:lang w:val="uk-UA"/>
        </w:rPr>
        <w:t>Програма являє собою комплекс взаємопов</w:t>
      </w:r>
      <w:r w:rsidR="00C21E73" w:rsidRPr="00DB0715">
        <w:rPr>
          <w:rFonts w:ascii="Times New Roman" w:eastAsiaTheme="minorHAnsi" w:hAnsi="Times New Roman"/>
          <w:kern w:val="2"/>
          <w:sz w:val="28"/>
          <w:szCs w:val="28"/>
          <w:lang w:val="uk-UA"/>
        </w:rPr>
        <w:t>’</w:t>
      </w:r>
      <w:r w:rsidRPr="00DB0715">
        <w:rPr>
          <w:rFonts w:ascii="Times New Roman" w:eastAsiaTheme="minorHAnsi" w:hAnsi="Times New Roman"/>
          <w:kern w:val="2"/>
          <w:sz w:val="28"/>
          <w:szCs w:val="28"/>
          <w:lang w:val="uk-UA"/>
        </w:rPr>
        <w:t xml:space="preserve">язаних </w:t>
      </w:r>
      <w:r w:rsidR="005A149E" w:rsidRPr="00DB0715">
        <w:rPr>
          <w:rFonts w:ascii="Times New Roman" w:eastAsiaTheme="minorHAnsi" w:hAnsi="Times New Roman"/>
          <w:kern w:val="2"/>
          <w:sz w:val="28"/>
          <w:szCs w:val="28"/>
          <w:lang w:val="uk-UA"/>
        </w:rPr>
        <w:t>розділів</w:t>
      </w:r>
      <w:r w:rsidRPr="00DB0715">
        <w:rPr>
          <w:rFonts w:ascii="Times New Roman" w:eastAsiaTheme="minorHAnsi" w:hAnsi="Times New Roman"/>
          <w:kern w:val="2"/>
          <w:sz w:val="28"/>
          <w:szCs w:val="28"/>
          <w:lang w:val="uk-UA"/>
        </w:rPr>
        <w:t xml:space="preserve"> із визначенням шляхів їх реалізації та джерел фінансування. </w:t>
      </w:r>
    </w:p>
    <w:p w:rsidR="005F3E6B" w:rsidRPr="00DB0715" w:rsidRDefault="005F3E6B" w:rsidP="00DB0715">
      <w:pPr>
        <w:spacing w:after="160"/>
        <w:ind w:firstLine="851"/>
        <w:jc w:val="both"/>
        <w:rPr>
          <w:rFonts w:ascii="Times New Roman" w:eastAsiaTheme="minorHAnsi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eastAsiaTheme="minorHAnsi" w:hAnsi="Times New Roman"/>
          <w:kern w:val="2"/>
          <w:sz w:val="28"/>
          <w:szCs w:val="28"/>
          <w:lang w:val="uk-UA"/>
        </w:rPr>
        <w:t xml:space="preserve">Програма складається з </w:t>
      </w:r>
      <w:r w:rsidR="003B49A6" w:rsidRPr="00DB0715">
        <w:rPr>
          <w:rFonts w:ascii="Times New Roman" w:eastAsiaTheme="minorHAnsi" w:hAnsi="Times New Roman"/>
          <w:kern w:val="2"/>
          <w:sz w:val="28"/>
          <w:szCs w:val="28"/>
          <w:lang w:val="uk-UA"/>
        </w:rPr>
        <w:t>одинадцяти розділів</w:t>
      </w:r>
      <w:r w:rsidRPr="00DB0715">
        <w:rPr>
          <w:rFonts w:ascii="Times New Roman" w:eastAsiaTheme="minorHAnsi" w:hAnsi="Times New Roman"/>
          <w:kern w:val="2"/>
          <w:sz w:val="28"/>
          <w:szCs w:val="28"/>
          <w:lang w:val="uk-UA"/>
        </w:rPr>
        <w:t>, кожна з яких охоплює стратегічні напрямки розвитку освіти.</w:t>
      </w:r>
    </w:p>
    <w:p w:rsidR="00156556" w:rsidRPr="00DB0715" w:rsidRDefault="00C874F3" w:rsidP="00DB071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bCs/>
          <w:kern w:val="2"/>
          <w:sz w:val="28"/>
          <w:szCs w:val="28"/>
          <w:lang w:val="uk-UA" w:eastAsia="ru-RU"/>
        </w:rPr>
        <w:t xml:space="preserve">ІІІ. </w:t>
      </w:r>
      <w:r w:rsidR="00156556" w:rsidRPr="00DB0715">
        <w:rPr>
          <w:rFonts w:ascii="Times New Roman" w:eastAsia="Times New Roman" w:hAnsi="Times New Roman"/>
          <w:b/>
          <w:bCs/>
          <w:kern w:val="2"/>
          <w:sz w:val="28"/>
          <w:szCs w:val="28"/>
          <w:lang w:val="uk-UA" w:eastAsia="ru-RU"/>
        </w:rPr>
        <w:t>Мета Програми</w:t>
      </w:r>
    </w:p>
    <w:p w:rsidR="00145364" w:rsidRPr="00DB0715" w:rsidRDefault="00145364" w:rsidP="00DB0715">
      <w:pPr>
        <w:pStyle w:val="a3"/>
        <w:shd w:val="clear" w:color="auto" w:fill="FFFFFF"/>
        <w:spacing w:after="0"/>
        <w:ind w:left="1080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</w:p>
    <w:p w:rsidR="008D67D8" w:rsidRPr="00DB0715" w:rsidRDefault="008D67D8" w:rsidP="00DB0715">
      <w:pPr>
        <w:ind w:firstLine="851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Метою Програми </w:t>
      </w:r>
      <w:r w:rsidR="005F3E6B" w:rsidRPr="00DB0715">
        <w:rPr>
          <w:rFonts w:ascii="Times New Roman" w:hAnsi="Times New Roman"/>
          <w:kern w:val="2"/>
          <w:sz w:val="28"/>
          <w:szCs w:val="28"/>
          <w:lang w:val="uk-UA"/>
        </w:rPr>
        <w:t>є розвит</w:t>
      </w:r>
      <w:r w:rsidR="00E03E8F" w:rsidRPr="00DB0715">
        <w:rPr>
          <w:rFonts w:ascii="Times New Roman" w:hAnsi="Times New Roman"/>
          <w:kern w:val="2"/>
          <w:sz w:val="28"/>
          <w:szCs w:val="28"/>
          <w:lang w:val="uk-UA"/>
        </w:rPr>
        <w:t>о</w:t>
      </w:r>
      <w:r w:rsidR="005F3E6B" w:rsidRPr="00DB0715">
        <w:rPr>
          <w:rFonts w:ascii="Times New Roman" w:hAnsi="Times New Roman"/>
          <w:kern w:val="2"/>
          <w:sz w:val="28"/>
          <w:szCs w:val="28"/>
          <w:lang w:val="uk-UA"/>
        </w:rPr>
        <w:t>к</w:t>
      </w:r>
      <w:r w:rsidR="00E03E8F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освітньої галузі Чернівецької області </w:t>
      </w:r>
      <w:r w:rsidR="005F3E6B" w:rsidRPr="00DB0715">
        <w:rPr>
          <w:rFonts w:ascii="Times New Roman" w:hAnsi="Times New Roman"/>
          <w:kern w:val="2"/>
          <w:sz w:val="28"/>
          <w:szCs w:val="28"/>
          <w:lang w:val="uk-UA"/>
        </w:rPr>
        <w:t>відповідно до сучасних потреб суспіл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>ьства та кожного громадянина,</w:t>
      </w:r>
      <w:r w:rsidR="005F3E6B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створення належних умов здобуття </w:t>
      </w:r>
      <w:r w:rsidR="005F3E6B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якісної освіти, яка забезпечує повноцінний розвиток кожної дитини </w:t>
      </w:r>
      <w:r w:rsidR="003B49A6" w:rsidRPr="00DB0715">
        <w:rPr>
          <w:rFonts w:ascii="Times New Roman" w:hAnsi="Times New Roman"/>
          <w:kern w:val="2"/>
          <w:sz w:val="28"/>
          <w:szCs w:val="28"/>
          <w:lang w:val="uk-UA"/>
        </w:rPr>
        <w:t>та</w:t>
      </w:r>
      <w:r w:rsidR="005F3E6B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її успішну інтеграцію в українське суспільство та європейську спільноту</w:t>
      </w:r>
      <w:r w:rsidR="00B57FAF" w:rsidRPr="00DB0715">
        <w:rPr>
          <w:rFonts w:ascii="Times New Roman" w:hAnsi="Times New Roman"/>
          <w:kern w:val="2"/>
          <w:sz w:val="28"/>
          <w:szCs w:val="28"/>
          <w:lang w:val="uk-UA"/>
        </w:rPr>
        <w:t>.</w:t>
      </w:r>
      <w:r w:rsidR="005F3E6B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 </w:t>
      </w:r>
    </w:p>
    <w:p w:rsidR="00C874F3" w:rsidRPr="00DB0715" w:rsidRDefault="00156556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ІV.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 xml:space="preserve">Обґрунтування шляхів і </w:t>
      </w:r>
      <w:r w:rsidR="00C874F3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 xml:space="preserve">засобів розв’язання проблеми, </w:t>
      </w:r>
    </w:p>
    <w:p w:rsidR="00A51CB5" w:rsidRPr="00DB0715" w:rsidRDefault="00156556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строки та етапи виконання Програми</w:t>
      </w:r>
    </w:p>
    <w:p w:rsidR="008D67D8" w:rsidRPr="00DB0715" w:rsidRDefault="0033767F" w:rsidP="00DB0715">
      <w:pPr>
        <w:spacing w:after="0"/>
        <w:ind w:firstLine="851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Комплексна</w:t>
      </w:r>
      <w:r w:rsidR="00B57FAF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програма </w:t>
      </w:r>
      <w:r w:rsidR="00156556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передбачає проведення упродовж 201</w:t>
      </w:r>
      <w:r w:rsidR="008D67D8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8</w:t>
      </w:r>
      <w:r w:rsidR="00156556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-20</w:t>
      </w:r>
      <w:r w:rsidR="00BC632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2</w:t>
      </w:r>
      <w:r w:rsidR="00156556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2 рок</w:t>
      </w:r>
      <w:r w:rsidR="008D67D8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ів </w:t>
      </w:r>
      <w:r w:rsidR="00156556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заходів спрямованих на </w:t>
      </w:r>
      <w:r w:rsidR="008D67D8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розвиток та підтримку </w:t>
      </w:r>
      <w:r w:rsidR="008D67D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дошкільної,  загально середньої, позашкільної,</w:t>
      </w:r>
      <w:r w:rsidR="00B57FAF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інклюзивної,</w:t>
      </w:r>
      <w:r w:rsidR="00511B6A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професійно-технічної</w:t>
      </w:r>
      <w:r w:rsidR="008D67D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освіти</w:t>
      </w:r>
      <w:r w:rsidR="00471EA1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;</w:t>
      </w:r>
      <w:r w:rsidR="008D67D8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471EA1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розвиток  інтелектуальних та творчих здібностей учнівської та студентської молоді, їх професійних знань і </w:t>
      </w:r>
      <w:proofErr w:type="spellStart"/>
      <w:r w:rsidR="00471EA1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компетентностей</w:t>
      </w:r>
      <w:proofErr w:type="spellEnd"/>
      <w:r w:rsidR="00471EA1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; забезпечення </w:t>
      </w:r>
      <w:r w:rsidR="00BC632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впровадження </w:t>
      </w:r>
      <w:r w:rsidR="00BC6323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державної політики </w:t>
      </w:r>
      <w:r w:rsidR="00BC6323" w:rsidRPr="00DB0715">
        <w:rPr>
          <w:rFonts w:ascii="Times New Roman" w:eastAsia="Times New Roman" w:hAnsi="Times New Roman"/>
          <w:bCs/>
          <w:kern w:val="2"/>
          <w:sz w:val="28"/>
          <w:szCs w:val="28"/>
          <w:lang w:val="uk-UA" w:eastAsia="uk-UA"/>
        </w:rPr>
        <w:t>у сфері реформування загальної середньої освіти  «Нова українська школа» на період до 2029 року</w:t>
      </w:r>
      <w:r w:rsidR="002900C0" w:rsidRPr="00DB0715">
        <w:rPr>
          <w:rFonts w:ascii="Times New Roman" w:eastAsia="Times New Roman" w:hAnsi="Times New Roman"/>
          <w:bCs/>
          <w:kern w:val="2"/>
          <w:sz w:val="28"/>
          <w:szCs w:val="28"/>
          <w:lang w:val="uk-UA" w:eastAsia="uk-UA"/>
        </w:rPr>
        <w:t xml:space="preserve"> в закладах освіти Чернівецької області</w:t>
      </w:r>
      <w:r w:rsidR="00471EA1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.</w:t>
      </w:r>
    </w:p>
    <w:p w:rsidR="00C21E73" w:rsidRPr="00DB0715" w:rsidRDefault="00156556" w:rsidP="00DB071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lastRenderedPageBreak/>
        <w:t>Програму планується реалізувати шляхом:</w:t>
      </w:r>
    </w:p>
    <w:p w:rsidR="00145364" w:rsidRPr="00DB0715" w:rsidRDefault="00145364" w:rsidP="00DB071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- підвищення якості освіти в Чернівецької області, її орієнтацією у світовий та європейський освітній простір</w:t>
      </w:r>
      <w:r w:rsidR="002900C0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, з урахуванням зміни держаної політики у сфері освіти;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ab/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ab/>
      </w:r>
    </w:p>
    <w:p w:rsidR="00145364" w:rsidRPr="00DB0715" w:rsidRDefault="00145364" w:rsidP="00DB0715">
      <w:pPr>
        <w:tabs>
          <w:tab w:val="left" w:pos="1440"/>
        </w:tabs>
        <w:spacing w:after="0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- розвитку системи дошкільної, загальної середньої, професійно-технічної, вищої, позашкільної та інклюзивної освіти, удосконалення системи профільного навчання та моніторингу якості освіти тощо</w:t>
      </w:r>
      <w:bookmarkStart w:id="1" w:name="o18"/>
      <w:bookmarkEnd w:id="1"/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;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ab/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ab/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ab/>
      </w:r>
    </w:p>
    <w:p w:rsidR="00145364" w:rsidRPr="00DB0715" w:rsidRDefault="00145364" w:rsidP="00DB0715">
      <w:pPr>
        <w:tabs>
          <w:tab w:val="left" w:pos="1440"/>
        </w:tabs>
        <w:spacing w:after="0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>- вироблення єдиної стратегії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ab/>
        <w:t xml:space="preserve"> та консолідація зусиль органів місцевого самоврядування, територіальних громад у впровадженні реформи освітньої галузі Чернівецької області.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ab/>
      </w:r>
    </w:p>
    <w:p w:rsidR="00145364" w:rsidRPr="00DB0715" w:rsidRDefault="00145364" w:rsidP="00DB0715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Строк виконання Програми п’ять років (2018-2022 роки).  </w:t>
      </w:r>
    </w:p>
    <w:p w:rsidR="00145364" w:rsidRPr="00DB0715" w:rsidRDefault="00145364" w:rsidP="00DB0715">
      <w:pPr>
        <w:tabs>
          <w:tab w:val="left" w:pos="1440"/>
        </w:tabs>
        <w:spacing w:after="0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</w:p>
    <w:p w:rsidR="00471EA1" w:rsidRPr="00DB0715" w:rsidRDefault="002239D6" w:rsidP="00DB0715">
      <w:pPr>
        <w:tabs>
          <w:tab w:val="left" w:pos="1440"/>
        </w:tabs>
        <w:spacing w:after="0"/>
        <w:ind w:firstLine="72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en-US" w:eastAsia="uk-UA"/>
        </w:rPr>
        <w:t>V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>. Основні завдання та результативні</w:t>
      </w:r>
      <w:r w:rsidR="00C874F3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 xml:space="preserve"> 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>показники Програми</w:t>
      </w:r>
    </w:p>
    <w:p w:rsidR="00C874F3" w:rsidRPr="00DB0715" w:rsidRDefault="00C874F3" w:rsidP="00DB0715">
      <w:pPr>
        <w:tabs>
          <w:tab w:val="left" w:pos="1440"/>
        </w:tabs>
        <w:spacing w:after="0"/>
        <w:ind w:firstLine="72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</w:pPr>
    </w:p>
    <w:p w:rsidR="006659FD" w:rsidRPr="00DB0715" w:rsidRDefault="006659FD" w:rsidP="00DB0715">
      <w:pPr>
        <w:tabs>
          <w:tab w:val="left" w:pos="1440"/>
        </w:tabs>
        <w:spacing w:after="0"/>
        <w:ind w:firstLine="720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>Реалізація Програми передбачає вирішення наступних завдань: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</w:p>
    <w:p w:rsidR="00552849" w:rsidRPr="00DB0715" w:rsidRDefault="00A51CB5" w:rsidP="00DB0715">
      <w:pPr>
        <w:spacing w:after="0"/>
        <w:ind w:firstLine="708"/>
        <w:jc w:val="both"/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</w:pP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-</w:t>
      </w:r>
      <w:r w:rsidR="00471EA1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</w:t>
      </w:r>
      <w:r w:rsidRPr="00DB0715">
        <w:rPr>
          <w:rFonts w:ascii="Times New Roman" w:hAnsi="Times New Roman"/>
          <w:b/>
          <w:kern w:val="2"/>
          <w:sz w:val="28"/>
          <w:szCs w:val="28"/>
          <w:shd w:val="clear" w:color="auto" w:fill="FFFFFF"/>
        </w:rPr>
        <w:t> </w:t>
      </w:r>
      <w:r w:rsidRPr="00DB0715">
        <w:rPr>
          <w:rFonts w:ascii="Times New Roman" w:hAnsi="Times New Roman"/>
          <w:b/>
          <w:kern w:val="2"/>
          <w:sz w:val="28"/>
          <w:szCs w:val="28"/>
          <w:shd w:val="clear" w:color="auto" w:fill="FFFFFF"/>
          <w:lang w:val="uk-UA"/>
        </w:rPr>
        <w:t>модернізація мережі закладів освіти</w:t>
      </w:r>
      <w:r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, а також приведення їх</w:t>
      </w:r>
      <w:r w:rsidR="001F664A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 відповідно</w:t>
      </w:r>
      <w:r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 до </w:t>
      </w:r>
      <w:r w:rsidR="001F664A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ресурсів кожної </w:t>
      </w:r>
      <w:r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території;</w:t>
      </w:r>
      <w:r w:rsidR="00552849"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 </w:t>
      </w:r>
    </w:p>
    <w:p w:rsidR="00552849" w:rsidRPr="00DB0715" w:rsidRDefault="00552849" w:rsidP="00DB0715">
      <w:pPr>
        <w:spacing w:after="0"/>
        <w:ind w:firstLine="708"/>
        <w:jc w:val="both"/>
        <w:rPr>
          <w:rFonts w:ascii="Times New Roman" w:hAnsi="Times New Roman"/>
          <w:b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- 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збереження </w:t>
      </w:r>
      <w:r w:rsidR="001A661E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і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розвиток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мережі закладів дошкільної та позашкільної  освіти  області; </w:t>
      </w:r>
    </w:p>
    <w:p w:rsidR="00332714" w:rsidRPr="00DB0715" w:rsidRDefault="00552849" w:rsidP="00DB0715">
      <w:pPr>
        <w:spacing w:after="0"/>
        <w:ind w:firstLine="708"/>
        <w:jc w:val="both"/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</w:pPr>
      <w:r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 xml:space="preserve"> - </w:t>
      </w:r>
      <w:r w:rsidRPr="00DB0715">
        <w:rPr>
          <w:rFonts w:ascii="Times New Roman" w:hAnsi="Times New Roman"/>
          <w:b/>
          <w:kern w:val="2"/>
          <w:sz w:val="28"/>
          <w:szCs w:val="28"/>
          <w:shd w:val="clear" w:color="auto" w:fill="FFFFFF"/>
          <w:lang w:val="uk-UA"/>
        </w:rPr>
        <w:t xml:space="preserve">створення 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>сучасного освітнього середовища</w:t>
      </w:r>
      <w:r w:rsidR="00BA07DE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>: «Новий освітній простір»</w:t>
      </w:r>
      <w:r w:rsidR="00332714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>;</w:t>
      </w:r>
    </w:p>
    <w:p w:rsidR="00F0249A" w:rsidRPr="00DB0715" w:rsidRDefault="00332714" w:rsidP="00DB0715">
      <w:pPr>
        <w:spacing w:after="0"/>
        <w:ind w:firstLine="708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- </w:t>
      </w:r>
      <w:r w:rsidR="00552849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</w:t>
      </w:r>
      <w:r w:rsidR="00552849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>оновлення матеріально-технічної бази</w:t>
      </w:r>
      <w:r w:rsidR="00552849" w:rsidRPr="00DB0715">
        <w:rPr>
          <w:rFonts w:ascii="Times New Roman" w:eastAsia="Times New Roman" w:hAnsi="Times New Roman"/>
          <w:kern w:val="2"/>
          <w:sz w:val="28"/>
          <w:szCs w:val="28"/>
          <w:lang w:val="uk-UA" w:eastAsia="uk-UA"/>
        </w:rPr>
        <w:t xml:space="preserve"> у закладах освіти області</w:t>
      </w:r>
      <w:r w:rsidR="00552849" w:rsidRPr="00DB0715">
        <w:rPr>
          <w:rFonts w:ascii="Times New Roman" w:hAnsi="Times New Roman"/>
          <w:kern w:val="2"/>
          <w:sz w:val="28"/>
          <w:szCs w:val="28"/>
          <w:lang w:val="uk-UA"/>
        </w:rPr>
        <w:t>;</w:t>
      </w:r>
    </w:p>
    <w:p w:rsidR="00F0249A" w:rsidRPr="00DB0715" w:rsidRDefault="00F0249A" w:rsidP="00DB0715">
      <w:pPr>
        <w:spacing w:after="0"/>
        <w:ind w:firstLine="708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- 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здійснення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</w:t>
      </w:r>
      <w:r w:rsidR="00BA07DE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належного</w:t>
      </w:r>
      <w:r w:rsidR="00BA07DE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</w:t>
      </w:r>
      <w:r w:rsidR="00471EA1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науково-методичн</w:t>
      </w:r>
      <w:r w:rsidR="00BA07DE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ого</w:t>
      </w:r>
      <w:r w:rsidR="00471EA1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забезпечення</w:t>
      </w:r>
      <w:r w:rsidR="00471EA1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</w:t>
      </w:r>
      <w:r w:rsidR="00B933DE" w:rsidRPr="00DB0715">
        <w:rPr>
          <w:rFonts w:ascii="Times New Roman" w:hAnsi="Times New Roman"/>
          <w:kern w:val="2"/>
          <w:sz w:val="28"/>
          <w:szCs w:val="28"/>
          <w:lang w:val="uk-UA"/>
        </w:rPr>
        <w:t>освітнього</w:t>
      </w:r>
      <w:r w:rsidR="00BA07DE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процесу в</w:t>
      </w:r>
      <w:r w:rsidR="00471EA1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закладах </w:t>
      </w:r>
      <w:r w:rsidR="00BA07DE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освіти </w:t>
      </w:r>
      <w:r w:rsidR="00471EA1" w:rsidRPr="00DB0715">
        <w:rPr>
          <w:rFonts w:ascii="Times New Roman" w:hAnsi="Times New Roman"/>
          <w:kern w:val="2"/>
          <w:sz w:val="28"/>
          <w:szCs w:val="28"/>
          <w:lang w:val="uk-UA"/>
        </w:rPr>
        <w:t>області відповідно до сучасних вимог;</w:t>
      </w:r>
    </w:p>
    <w:p w:rsidR="00F0249A" w:rsidRPr="00DB0715" w:rsidRDefault="00F0249A" w:rsidP="00DB0715">
      <w:pPr>
        <w:spacing w:after="0"/>
        <w:ind w:firstLine="708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- 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забезпечення </w:t>
      </w:r>
      <w:r w:rsidR="00471EA1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</w:t>
      </w:r>
      <w:r w:rsidRPr="00DB0715">
        <w:rPr>
          <w:rFonts w:ascii="Times New Roman" w:hAnsi="Times New Roman"/>
          <w:b/>
          <w:kern w:val="2"/>
          <w:sz w:val="28"/>
          <w:szCs w:val="28"/>
          <w:shd w:val="clear" w:color="auto" w:fill="FFFFFF"/>
          <w:lang w:val="uk-UA"/>
        </w:rPr>
        <w:t xml:space="preserve">рівного доступу </w:t>
      </w:r>
      <w:r w:rsidRPr="00DB0715">
        <w:rPr>
          <w:rFonts w:ascii="Times New Roman" w:hAnsi="Times New Roman"/>
          <w:kern w:val="2"/>
          <w:sz w:val="28"/>
          <w:szCs w:val="28"/>
          <w:shd w:val="clear" w:color="auto" w:fill="FFFFFF"/>
          <w:lang w:val="uk-UA"/>
        </w:rPr>
        <w:t>до якісної освіти дітей з особливими освітніми потребами;</w:t>
      </w:r>
      <w:r w:rsidR="00471EA1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</w:t>
      </w:r>
    </w:p>
    <w:p w:rsidR="00471EA1" w:rsidRPr="00DB0715" w:rsidRDefault="00F0249A" w:rsidP="00DB0715">
      <w:pPr>
        <w:spacing w:after="0"/>
        <w:ind w:firstLine="708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- 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впровадження інноваційних технологій в освітній та</w:t>
      </w:r>
      <w:r w:rsidR="00332714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науково-дослідний процеси;</w:t>
      </w:r>
    </w:p>
    <w:p w:rsidR="00524766" w:rsidRPr="00DB0715" w:rsidRDefault="00471EA1" w:rsidP="00DB0715">
      <w:pPr>
        <w:spacing w:after="0"/>
        <w:ind w:firstLine="708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 - 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активізація науково-дослідної, експериментальної роботи</w:t>
      </w:r>
      <w:r w:rsidR="001A661E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закладів освіти області,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пропагування кращого педагогічного досвіду</w:t>
      </w:r>
      <w:r w:rsidR="001A661E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та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наукових ідей;</w:t>
      </w:r>
    </w:p>
    <w:p w:rsidR="00471EA1" w:rsidRPr="00DB0715" w:rsidRDefault="00471EA1" w:rsidP="00DB0715">
      <w:pPr>
        <w:spacing w:after="0"/>
        <w:ind w:firstLine="708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 </w:t>
      </w:r>
      <w:r w:rsidR="0052096D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 xml:space="preserve">- </w:t>
      </w:r>
      <w:r w:rsidR="001A661E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 xml:space="preserve">створення умов для розвитку </w:t>
      </w:r>
      <w:r w:rsidR="0052096D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uk-UA"/>
        </w:rPr>
        <w:t>творчо обдарованої молоді;</w:t>
      </w:r>
    </w:p>
    <w:p w:rsidR="00AB5361" w:rsidRPr="00DB0715" w:rsidRDefault="0052096D" w:rsidP="00DB0715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- 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здійснення моніторингу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якісних показників та ефективності управління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/>
        </w:rPr>
        <w:t>освітою;</w:t>
      </w:r>
    </w:p>
    <w:p w:rsidR="00AB5361" w:rsidRPr="00DB0715" w:rsidRDefault="00AB5361" w:rsidP="00DB0715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/>
          <w:b/>
          <w:kern w:val="2"/>
          <w:sz w:val="24"/>
          <w:szCs w:val="24"/>
          <w:shd w:val="clear" w:color="auto" w:fill="F9FFF9"/>
          <w:lang w:val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/>
        </w:rPr>
        <w:t>-</w:t>
      </w:r>
      <w:r w:rsidR="00F0249A" w:rsidRPr="00DB0715">
        <w:rPr>
          <w:rFonts w:ascii="Times New Roman" w:eastAsia="Times New Roman" w:hAnsi="Times New Roman"/>
          <w:kern w:val="2"/>
          <w:sz w:val="28"/>
          <w:szCs w:val="28"/>
          <w:lang w:val="uk-UA"/>
        </w:rPr>
        <w:t xml:space="preserve"> </w:t>
      </w:r>
      <w:r w:rsidR="00F0249A"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/>
        </w:rPr>
        <w:t xml:space="preserve">забезпечення протипожежної 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/>
        </w:rPr>
        <w:t>безпеки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/>
        </w:rPr>
        <w:t xml:space="preserve"> у закладах освіти області</w:t>
      </w:r>
      <w:r w:rsidRPr="00DB0715">
        <w:rPr>
          <w:rFonts w:ascii="Times New Roman" w:hAnsi="Times New Roman"/>
          <w:b/>
          <w:kern w:val="2"/>
          <w:sz w:val="24"/>
          <w:szCs w:val="24"/>
          <w:shd w:val="clear" w:color="auto" w:fill="F9FFF9"/>
          <w:lang w:val="uk-UA"/>
        </w:rPr>
        <w:t>.</w:t>
      </w:r>
    </w:p>
    <w:p w:rsidR="0050262C" w:rsidRPr="00DB0715" w:rsidRDefault="0050262C" w:rsidP="00DB0715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/>
          <w:b/>
          <w:kern w:val="2"/>
          <w:sz w:val="28"/>
          <w:szCs w:val="28"/>
          <w:lang w:val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/>
        </w:rPr>
        <w:t xml:space="preserve">- 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/>
        </w:rPr>
        <w:t>забезпечення якісної організації дистанційного навчання та протиепідемічних заходів</w:t>
      </w:r>
    </w:p>
    <w:p w:rsidR="00C21E73" w:rsidRPr="00DB0715" w:rsidRDefault="00471EA1" w:rsidP="00DB0715">
      <w:pPr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Показники затрат ресурсного забезпечення наведені у додатку №1.</w:t>
      </w:r>
      <w:bookmarkStart w:id="2" w:name="_GoBack"/>
      <w:bookmarkEnd w:id="2"/>
    </w:p>
    <w:p w:rsidR="001A661E" w:rsidRPr="00DB0715" w:rsidRDefault="00471EA1" w:rsidP="00DB0715">
      <w:pPr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Показники продукту, ефективності та якості </w:t>
      </w:r>
      <w:r w:rsidR="0048637C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Програми наведені у додатку №2</w:t>
      </w:r>
      <w:r w:rsidR="002239D6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.</w:t>
      </w:r>
    </w:p>
    <w:p w:rsidR="00C874F3" w:rsidRPr="00DB0715" w:rsidRDefault="00C874F3" w:rsidP="00DB0715">
      <w:pPr>
        <w:spacing w:after="0"/>
        <w:ind w:firstLine="540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</w:p>
    <w:p w:rsidR="00156556" w:rsidRPr="00DB0715" w:rsidRDefault="00156556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lastRenderedPageBreak/>
        <w:t>VI. Напрями діяльності і заходи Програми</w:t>
      </w:r>
    </w:p>
    <w:p w:rsidR="00A51CB5" w:rsidRPr="00DB0715" w:rsidRDefault="00A51CB5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</w:p>
    <w:p w:rsidR="00156556" w:rsidRPr="00DB0715" w:rsidRDefault="00156556" w:rsidP="00DB0715">
      <w:pPr>
        <w:spacing w:after="0"/>
        <w:ind w:firstLine="708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Напрями діяльності та заходи 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Комплексної</w:t>
      </w:r>
      <w:r w:rsidR="002239D6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програми розвитку освітньої галузі Че</w:t>
      </w:r>
      <w:r w:rsidR="00BC632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рнівецької області на 2018-2022 </w:t>
      </w:r>
      <w:r w:rsidR="002239D6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роки</w:t>
      </w:r>
      <w:r w:rsidR="00BA07DE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наведені у додатку №3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. </w:t>
      </w:r>
    </w:p>
    <w:p w:rsidR="00A51CB5" w:rsidRPr="00DB0715" w:rsidRDefault="00A51CB5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</w:p>
    <w:p w:rsidR="00156556" w:rsidRPr="00DB0715" w:rsidRDefault="00156556" w:rsidP="00DB0715">
      <w:pPr>
        <w:spacing w:after="0"/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VIІ. Координація та контроль за ходом</w:t>
      </w:r>
    </w:p>
    <w:p w:rsidR="00156556" w:rsidRPr="00DB0715" w:rsidRDefault="00156556" w:rsidP="00DB0715">
      <w:pPr>
        <w:jc w:val="center"/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виконання Програми</w:t>
      </w:r>
    </w:p>
    <w:p w:rsidR="00156556" w:rsidRPr="00DB0715" w:rsidRDefault="00156556" w:rsidP="00DB0715">
      <w:pPr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Координація діяльності, спрямованої на виконання Програми, покладається на Департамент освіти і науки Чернівецької обласної державної адміністрації (головний розпорядник коштів).</w:t>
      </w:r>
    </w:p>
    <w:p w:rsidR="00156556" w:rsidRPr="00DB0715" w:rsidRDefault="00156556" w:rsidP="00DB0715">
      <w:pPr>
        <w:spacing w:after="0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Департамент освіти і науки обласної державної адміністрації здійснює контроль за станом впровадження і реалізації заходів цієї Програми та подає узагальнену інформацію Департаменту економічного розвитку обласної державної адміністрації раз на рік до </w:t>
      </w:r>
      <w:r w:rsidRPr="00DB0715">
        <w:rPr>
          <w:rFonts w:ascii="Times New Roman" w:eastAsia="Times New Roman" w:hAnsi="Times New Roman"/>
          <w:b/>
          <w:kern w:val="2"/>
          <w:sz w:val="28"/>
          <w:szCs w:val="28"/>
          <w:lang w:val="uk-UA" w:eastAsia="ru-RU"/>
        </w:rPr>
        <w:t>1 березня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упродовж 201</w:t>
      </w:r>
      <w:r w:rsidR="002239D6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8-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202</w:t>
      </w:r>
      <w:r w:rsidR="00A56165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2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років відповідно до Порядку формування, фінансування і моніторингу виконання регіональних (к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омплексних) програм</w:t>
      </w:r>
      <w:r w:rsidR="00D6008D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,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затвердженого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рішенням </w:t>
      </w:r>
      <w:r w:rsidR="00DB0715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6-ї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сесії Чернівецької обласної ради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en-US" w:eastAsia="ru-RU"/>
        </w:rPr>
        <w:t>V</w:t>
      </w:r>
      <w:r w:rsidR="00C874F3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скликання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від 03.08.2006 №80-6/06.</w:t>
      </w:r>
    </w:p>
    <w:p w:rsidR="00156556" w:rsidRPr="00DB0715" w:rsidRDefault="00156556" w:rsidP="00DB0715">
      <w:pPr>
        <w:spacing w:after="0"/>
        <w:ind w:firstLine="851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Звіт про виконання Програми оприлюднюється раз на рік на офіційному </w:t>
      </w:r>
      <w:proofErr w:type="spellStart"/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>веб-сайті</w:t>
      </w:r>
      <w:proofErr w:type="spellEnd"/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 Чернівецької обласної державної адміністрації.</w:t>
      </w:r>
    </w:p>
    <w:p w:rsidR="00156556" w:rsidRPr="00DB0715" w:rsidRDefault="00156556" w:rsidP="00DB0715">
      <w:pPr>
        <w:spacing w:after="0"/>
        <w:ind w:firstLine="851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Департамент </w:t>
      </w:r>
      <w:r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освіти і науки обласної державної адміністрації щорічно 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звітує про виконання </w:t>
      </w:r>
      <w:r w:rsidR="00D6008D" w:rsidRPr="00DB0715">
        <w:rPr>
          <w:rFonts w:ascii="Times New Roman" w:eastAsia="Times New Roman" w:hAnsi="Times New Roman"/>
          <w:kern w:val="2"/>
          <w:sz w:val="28"/>
          <w:szCs w:val="28"/>
          <w:lang w:val="uk-UA" w:eastAsia="ru-RU"/>
        </w:rPr>
        <w:t xml:space="preserve">Комплексної програми розвитку освітньої галузі Чернівецької області на 2018-2022 роки </w:t>
      </w:r>
      <w:r w:rsidRPr="00DB0715">
        <w:rPr>
          <w:rFonts w:ascii="Times New Roman" w:hAnsi="Times New Roman"/>
          <w:kern w:val="2"/>
          <w:sz w:val="28"/>
          <w:szCs w:val="28"/>
          <w:lang w:val="uk-UA"/>
        </w:rPr>
        <w:t>на сесії Чернівецької обласної ради.</w:t>
      </w:r>
      <w:r w:rsidR="00D6008D" w:rsidRPr="00DB0715">
        <w:rPr>
          <w:rFonts w:ascii="Times New Roman" w:hAnsi="Times New Roman"/>
          <w:kern w:val="2"/>
          <w:sz w:val="28"/>
          <w:szCs w:val="28"/>
          <w:lang w:val="uk-UA"/>
        </w:rPr>
        <w:t xml:space="preserve"> </w:t>
      </w:r>
    </w:p>
    <w:p w:rsidR="00156556" w:rsidRPr="00DB0715" w:rsidRDefault="00156556" w:rsidP="00DB0715">
      <w:pPr>
        <w:spacing w:after="0"/>
        <w:ind w:firstLine="540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156556" w:rsidRPr="00DB0715" w:rsidRDefault="00156556" w:rsidP="00DB0715">
      <w:pPr>
        <w:spacing w:after="0"/>
        <w:ind w:firstLine="540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7C4FD2" w:rsidRPr="00DB0715" w:rsidRDefault="007C4FD2" w:rsidP="00DB0715">
      <w:pPr>
        <w:spacing w:after="0"/>
        <w:ind w:firstLine="540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</w:p>
    <w:p w:rsidR="00156556" w:rsidRPr="00DB0715" w:rsidRDefault="00156556" w:rsidP="00DB0715">
      <w:pPr>
        <w:tabs>
          <w:tab w:val="left" w:pos="7371"/>
        </w:tabs>
        <w:spacing w:after="0"/>
        <w:jc w:val="both"/>
        <w:rPr>
          <w:rFonts w:ascii="Times New Roman" w:hAnsi="Times New Roman"/>
          <w:kern w:val="2"/>
          <w:sz w:val="28"/>
          <w:szCs w:val="28"/>
          <w:lang w:val="uk-UA"/>
        </w:rPr>
      </w:pP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Керуючий справами обласної ради</w:t>
      </w:r>
      <w:r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ab/>
        <w:t>М</w:t>
      </w:r>
      <w:r w:rsidR="00C21E73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икола</w:t>
      </w:r>
      <w:r w:rsidR="0033767F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</w:t>
      </w:r>
      <w:r w:rsidR="00C21E73" w:rsidRPr="00DB0715">
        <w:rPr>
          <w:rFonts w:ascii="Times New Roman" w:hAnsi="Times New Roman"/>
          <w:b/>
          <w:kern w:val="2"/>
          <w:sz w:val="28"/>
          <w:szCs w:val="28"/>
          <w:lang w:val="uk-UA"/>
        </w:rPr>
        <w:t>БОРЕЦЬ</w:t>
      </w:r>
    </w:p>
    <w:sectPr w:rsidR="00156556" w:rsidRPr="00DB0715" w:rsidSect="00A56165">
      <w:foot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59B" w:rsidRDefault="00F3659B" w:rsidP="008B4968">
      <w:pPr>
        <w:spacing w:after="0" w:line="240" w:lineRule="auto"/>
      </w:pPr>
      <w:r>
        <w:separator/>
      </w:r>
    </w:p>
  </w:endnote>
  <w:endnote w:type="continuationSeparator" w:id="0">
    <w:p w:rsidR="00F3659B" w:rsidRDefault="00F3659B" w:rsidP="008B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923480"/>
      <w:docPartObj>
        <w:docPartGallery w:val="Page Numbers (Bottom of Page)"/>
        <w:docPartUnique/>
      </w:docPartObj>
    </w:sdtPr>
    <w:sdtContent>
      <w:p w:rsidR="00A56165" w:rsidRDefault="0006555C">
        <w:pPr>
          <w:pStyle w:val="a7"/>
          <w:jc w:val="center"/>
        </w:pPr>
        <w:r>
          <w:fldChar w:fldCharType="begin"/>
        </w:r>
        <w:r w:rsidR="00A56165">
          <w:instrText>PAGE   \* MERGEFORMAT</w:instrText>
        </w:r>
        <w:r>
          <w:fldChar w:fldCharType="separate"/>
        </w:r>
        <w:r w:rsidR="00A36B98">
          <w:rPr>
            <w:noProof/>
          </w:rPr>
          <w:t>5</w:t>
        </w:r>
        <w:r>
          <w:fldChar w:fldCharType="end"/>
        </w:r>
      </w:p>
    </w:sdtContent>
  </w:sdt>
  <w:p w:rsidR="00A56165" w:rsidRDefault="00A5616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59B" w:rsidRDefault="00F3659B" w:rsidP="008B4968">
      <w:pPr>
        <w:spacing w:after="0" w:line="240" w:lineRule="auto"/>
      </w:pPr>
      <w:r>
        <w:separator/>
      </w:r>
    </w:p>
  </w:footnote>
  <w:footnote w:type="continuationSeparator" w:id="0">
    <w:p w:rsidR="00F3659B" w:rsidRDefault="00F3659B" w:rsidP="008B4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450A1"/>
    <w:multiLevelType w:val="multilevel"/>
    <w:tmpl w:val="086EE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BA6DD5"/>
    <w:multiLevelType w:val="hybridMultilevel"/>
    <w:tmpl w:val="A46EC29E"/>
    <w:lvl w:ilvl="0" w:tplc="23E0D5D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ECA0A3D"/>
    <w:multiLevelType w:val="hybridMultilevel"/>
    <w:tmpl w:val="BA389F8C"/>
    <w:lvl w:ilvl="0" w:tplc="C130C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505E0"/>
    <w:multiLevelType w:val="hybridMultilevel"/>
    <w:tmpl w:val="135028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E6B"/>
    <w:rsid w:val="0001336F"/>
    <w:rsid w:val="0006555C"/>
    <w:rsid w:val="00067A97"/>
    <w:rsid w:val="00071CDB"/>
    <w:rsid w:val="00085375"/>
    <w:rsid w:val="000C03E3"/>
    <w:rsid w:val="00103C83"/>
    <w:rsid w:val="00144033"/>
    <w:rsid w:val="00145364"/>
    <w:rsid w:val="0014585D"/>
    <w:rsid w:val="001514A6"/>
    <w:rsid w:val="00153D5B"/>
    <w:rsid w:val="00156556"/>
    <w:rsid w:val="00186C67"/>
    <w:rsid w:val="001A661E"/>
    <w:rsid w:val="001F664A"/>
    <w:rsid w:val="00213868"/>
    <w:rsid w:val="002239D6"/>
    <w:rsid w:val="002900C0"/>
    <w:rsid w:val="002958D7"/>
    <w:rsid w:val="002C1DD3"/>
    <w:rsid w:val="002F3BB7"/>
    <w:rsid w:val="00312744"/>
    <w:rsid w:val="00324DE6"/>
    <w:rsid w:val="00332714"/>
    <w:rsid w:val="0033767F"/>
    <w:rsid w:val="003440DB"/>
    <w:rsid w:val="003B49A6"/>
    <w:rsid w:val="00427F1D"/>
    <w:rsid w:val="00441DDF"/>
    <w:rsid w:val="00450684"/>
    <w:rsid w:val="00471EA1"/>
    <w:rsid w:val="0048637C"/>
    <w:rsid w:val="004C55B7"/>
    <w:rsid w:val="004F69D9"/>
    <w:rsid w:val="0050262C"/>
    <w:rsid w:val="00507951"/>
    <w:rsid w:val="00511B6A"/>
    <w:rsid w:val="0052043D"/>
    <w:rsid w:val="0052096D"/>
    <w:rsid w:val="00524766"/>
    <w:rsid w:val="00552849"/>
    <w:rsid w:val="00575C98"/>
    <w:rsid w:val="00590182"/>
    <w:rsid w:val="005A149E"/>
    <w:rsid w:val="005A1D36"/>
    <w:rsid w:val="005F3E6B"/>
    <w:rsid w:val="00605016"/>
    <w:rsid w:val="006064A9"/>
    <w:rsid w:val="006659FD"/>
    <w:rsid w:val="006879B7"/>
    <w:rsid w:val="006D1246"/>
    <w:rsid w:val="006F0D62"/>
    <w:rsid w:val="006F5BEF"/>
    <w:rsid w:val="007C361A"/>
    <w:rsid w:val="007C49A5"/>
    <w:rsid w:val="007C4FD2"/>
    <w:rsid w:val="007F3A38"/>
    <w:rsid w:val="008136CE"/>
    <w:rsid w:val="00831978"/>
    <w:rsid w:val="00834D2E"/>
    <w:rsid w:val="00895E55"/>
    <w:rsid w:val="008B4968"/>
    <w:rsid w:val="008D67D8"/>
    <w:rsid w:val="009272ED"/>
    <w:rsid w:val="00971EAC"/>
    <w:rsid w:val="009B0A89"/>
    <w:rsid w:val="00A36B98"/>
    <w:rsid w:val="00A51CB5"/>
    <w:rsid w:val="00A56165"/>
    <w:rsid w:val="00A9522D"/>
    <w:rsid w:val="00A97335"/>
    <w:rsid w:val="00AB5361"/>
    <w:rsid w:val="00AD389C"/>
    <w:rsid w:val="00AD6F87"/>
    <w:rsid w:val="00B03DD7"/>
    <w:rsid w:val="00B57FAF"/>
    <w:rsid w:val="00B61B19"/>
    <w:rsid w:val="00B90F52"/>
    <w:rsid w:val="00B933DE"/>
    <w:rsid w:val="00BA07DE"/>
    <w:rsid w:val="00BA5ED4"/>
    <w:rsid w:val="00BA7F5B"/>
    <w:rsid w:val="00BC5BE5"/>
    <w:rsid w:val="00BC6323"/>
    <w:rsid w:val="00BD5EAA"/>
    <w:rsid w:val="00BF0A6F"/>
    <w:rsid w:val="00C21E73"/>
    <w:rsid w:val="00C5499F"/>
    <w:rsid w:val="00C874F3"/>
    <w:rsid w:val="00C944F0"/>
    <w:rsid w:val="00CE04FC"/>
    <w:rsid w:val="00D6008D"/>
    <w:rsid w:val="00D845DC"/>
    <w:rsid w:val="00DB0715"/>
    <w:rsid w:val="00E03E8F"/>
    <w:rsid w:val="00E17493"/>
    <w:rsid w:val="00E828B4"/>
    <w:rsid w:val="00E93D50"/>
    <w:rsid w:val="00E95246"/>
    <w:rsid w:val="00EA1E80"/>
    <w:rsid w:val="00EA20C1"/>
    <w:rsid w:val="00EB1B83"/>
    <w:rsid w:val="00F0249A"/>
    <w:rsid w:val="00F05D26"/>
    <w:rsid w:val="00F363F6"/>
    <w:rsid w:val="00F36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E6B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556"/>
    <w:pPr>
      <w:ind w:left="720"/>
      <w:contextualSpacing/>
    </w:pPr>
  </w:style>
  <w:style w:type="paragraph" w:customStyle="1" w:styleId="rvps2">
    <w:name w:val="rvps2"/>
    <w:basedOn w:val="a"/>
    <w:rsid w:val="002958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E03E8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8D67D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7D8"/>
    <w:rPr>
      <w:rFonts w:ascii="Consolas" w:eastAsia="Calibri" w:hAnsi="Consolas" w:cs="Times New Roman"/>
      <w:sz w:val="20"/>
      <w:szCs w:val="20"/>
      <w:lang w:val="ru-RU"/>
    </w:rPr>
  </w:style>
  <w:style w:type="paragraph" w:styleId="a5">
    <w:name w:val="header"/>
    <w:basedOn w:val="a"/>
    <w:link w:val="a6"/>
    <w:uiPriority w:val="99"/>
    <w:unhideWhenUsed/>
    <w:rsid w:val="008B4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968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B4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968"/>
    <w:rPr>
      <w:rFonts w:ascii="Calibri" w:eastAsia="Calibri" w:hAnsi="Calibri" w:cs="Times New Roman"/>
      <w:lang w:val="ru-RU"/>
    </w:rPr>
  </w:style>
  <w:style w:type="paragraph" w:styleId="a9">
    <w:name w:val="Title"/>
    <w:basedOn w:val="a"/>
    <w:next w:val="a"/>
    <w:link w:val="aa"/>
    <w:uiPriority w:val="10"/>
    <w:qFormat/>
    <w:rsid w:val="003B49A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3B49A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65B4-67D0-461F-9DD4-4024B833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6422</Words>
  <Characters>3661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2021-04-05T13:43:00Z</cp:lastPrinted>
  <dcterms:created xsi:type="dcterms:W3CDTF">2021-04-02T12:29:00Z</dcterms:created>
  <dcterms:modified xsi:type="dcterms:W3CDTF">2021-04-05T13:44:00Z</dcterms:modified>
</cp:coreProperties>
</file>