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B00" w:rsidRPr="00BA1CC0" w:rsidRDefault="00CD5B00" w:rsidP="00CD5B00">
      <w:pPr>
        <w:spacing w:after="0" w:line="240" w:lineRule="auto"/>
        <w:ind w:left="8505" w:firstLine="10"/>
        <w:rPr>
          <w:rFonts w:ascii="Times New Roman" w:hAnsi="Times New Roman" w:cs="Times New Roman"/>
          <w:b/>
          <w:sz w:val="24"/>
          <w:szCs w:val="24"/>
        </w:rPr>
      </w:pPr>
      <w:r w:rsidRPr="00BA1CC0">
        <w:rPr>
          <w:rFonts w:ascii="Times New Roman" w:hAnsi="Times New Roman" w:cs="Times New Roman"/>
          <w:b/>
          <w:sz w:val="24"/>
          <w:szCs w:val="24"/>
        </w:rPr>
        <w:t xml:space="preserve">Додаток 2 </w:t>
      </w:r>
    </w:p>
    <w:p w:rsidR="00CD5B00" w:rsidRPr="00BA1CC0" w:rsidRDefault="00CD5B00" w:rsidP="00CD5B00">
      <w:pPr>
        <w:spacing w:after="0" w:line="240" w:lineRule="auto"/>
        <w:ind w:left="8505" w:firstLine="10"/>
        <w:rPr>
          <w:rFonts w:ascii="Times New Roman" w:hAnsi="Times New Roman"/>
          <w:b/>
          <w:sz w:val="36"/>
          <w:szCs w:val="36"/>
        </w:rPr>
      </w:pPr>
      <w:r w:rsidRPr="00BA1CC0">
        <w:rPr>
          <w:rFonts w:ascii="Times New Roman" w:hAnsi="Times New Roman" w:cs="Times New Roman"/>
          <w:b/>
          <w:sz w:val="24"/>
          <w:szCs w:val="24"/>
        </w:rPr>
        <w:t>до регіональної Програми</w:t>
      </w:r>
      <w:r w:rsidR="00A33E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1CC0">
        <w:rPr>
          <w:rFonts w:ascii="Times New Roman" w:hAnsi="Times New Roman" w:cs="Times New Roman"/>
          <w:b/>
          <w:sz w:val="24"/>
          <w:szCs w:val="24"/>
        </w:rPr>
        <w:t xml:space="preserve">сприяння розвитку громадянського суспільства, </w:t>
      </w:r>
      <w:r w:rsidRPr="00BA1CC0">
        <w:rPr>
          <w:rFonts w:ascii="Times New Roman" w:hAnsi="Times New Roman" w:cs="Times New Roman"/>
          <w:b/>
          <w:sz w:val="24"/>
          <w:szCs w:val="24"/>
          <w:lang w:eastAsia="ru-RU"/>
        </w:rPr>
        <w:t>відзначення свят державного,</w:t>
      </w:r>
      <w:r w:rsidR="00A33E5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A1C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регіонального, місцевого значення  та здійснення представницьких, інших заходів </w:t>
      </w:r>
      <w:r w:rsidRPr="00BA1CC0">
        <w:rPr>
          <w:rFonts w:ascii="Times New Roman" w:hAnsi="Times New Roman" w:cs="Times New Roman"/>
          <w:b/>
          <w:sz w:val="24"/>
          <w:szCs w:val="24"/>
        </w:rPr>
        <w:t>у Чернівецькій області</w:t>
      </w:r>
      <w:r w:rsidRPr="00BA1CC0">
        <w:rPr>
          <w:rFonts w:ascii="Times New Roman" w:hAnsi="Times New Roman"/>
          <w:b/>
          <w:sz w:val="24"/>
          <w:szCs w:val="24"/>
        </w:rPr>
        <w:t xml:space="preserve"> на 2021-2023 роки </w:t>
      </w:r>
    </w:p>
    <w:p w:rsidR="00CD5B00" w:rsidRPr="00BA1CC0" w:rsidRDefault="00CD5B00" w:rsidP="00CD5B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CC0">
        <w:rPr>
          <w:rFonts w:ascii="Times New Roman" w:hAnsi="Times New Roman" w:cs="Times New Roman"/>
          <w:b/>
          <w:bCs/>
          <w:color w:val="0070C0"/>
          <w:sz w:val="36"/>
          <w:szCs w:val="36"/>
        </w:rPr>
        <w:t xml:space="preserve"> </w:t>
      </w:r>
    </w:p>
    <w:p w:rsidR="00CD5B00" w:rsidRDefault="00CD5B00" w:rsidP="00CD5B00">
      <w:pPr>
        <w:pStyle w:val="Style2"/>
        <w:widowControl/>
        <w:spacing w:before="168" w:line="240" w:lineRule="auto"/>
        <w:rPr>
          <w:rFonts w:ascii="Times New Roman" w:hAnsi="Times New Roman"/>
          <w:b/>
          <w:bCs/>
          <w:lang w:val="uk-UA"/>
        </w:rPr>
      </w:pPr>
      <w:r w:rsidRPr="00BA1CC0">
        <w:rPr>
          <w:rFonts w:ascii="Times New Roman" w:hAnsi="Times New Roman"/>
          <w:b/>
          <w:bCs/>
          <w:lang w:val="uk-UA"/>
        </w:rPr>
        <w:t xml:space="preserve">Напрями діяльності та заходи Програми </w:t>
      </w:r>
    </w:p>
    <w:p w:rsidR="00CD5B00" w:rsidRPr="00BA1CC0" w:rsidRDefault="00CD5B00" w:rsidP="00CD5B00">
      <w:pPr>
        <w:pStyle w:val="Style2"/>
        <w:widowControl/>
        <w:spacing w:before="168" w:line="240" w:lineRule="auto"/>
        <w:rPr>
          <w:rFonts w:ascii="Times New Roman" w:hAnsi="Times New Roman"/>
          <w:b/>
          <w:bCs/>
          <w:lang w:val="uk-UA"/>
        </w:rPr>
      </w:pPr>
    </w:p>
    <w:tbl>
      <w:tblPr>
        <w:tblStyle w:val="a3"/>
        <w:tblW w:w="15168" w:type="dxa"/>
        <w:tblInd w:w="-318" w:type="dxa"/>
        <w:tblLayout w:type="fixed"/>
        <w:tblLook w:val="04A0"/>
      </w:tblPr>
      <w:tblGrid>
        <w:gridCol w:w="518"/>
        <w:gridCol w:w="2035"/>
        <w:gridCol w:w="2444"/>
        <w:gridCol w:w="1434"/>
        <w:gridCol w:w="1727"/>
        <w:gridCol w:w="1230"/>
        <w:gridCol w:w="910"/>
        <w:gridCol w:w="992"/>
        <w:gridCol w:w="992"/>
        <w:gridCol w:w="993"/>
        <w:gridCol w:w="1893"/>
      </w:tblGrid>
      <w:tr w:rsidR="00A33E50" w:rsidTr="00A33E50">
        <w:tc>
          <w:tcPr>
            <w:tcW w:w="518" w:type="dxa"/>
            <w:vMerge w:val="restart"/>
          </w:tcPr>
          <w:p w:rsidR="00A33E50" w:rsidRPr="00BA1CC0" w:rsidRDefault="00A33E50" w:rsidP="00753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035" w:type="dxa"/>
            <w:vMerge w:val="restart"/>
          </w:tcPr>
          <w:p w:rsidR="00A33E50" w:rsidRPr="00BA1CC0" w:rsidRDefault="00A33E50" w:rsidP="00593C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Назва напрямку діяльності</w:t>
            </w:r>
          </w:p>
        </w:tc>
        <w:tc>
          <w:tcPr>
            <w:tcW w:w="2444" w:type="dxa"/>
            <w:vMerge w:val="restart"/>
          </w:tcPr>
          <w:p w:rsidR="00A33E50" w:rsidRPr="00BA1CC0" w:rsidRDefault="00A33E50" w:rsidP="00753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34" w:type="dxa"/>
            <w:vMerge w:val="restart"/>
          </w:tcPr>
          <w:p w:rsidR="00A33E50" w:rsidRPr="00BA1CC0" w:rsidRDefault="00A33E50" w:rsidP="00753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1727" w:type="dxa"/>
            <w:vMerge w:val="restart"/>
          </w:tcPr>
          <w:p w:rsidR="00A33E50" w:rsidRPr="00BA1CC0" w:rsidRDefault="00A33E50" w:rsidP="00753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230" w:type="dxa"/>
            <w:vMerge w:val="restart"/>
          </w:tcPr>
          <w:p w:rsidR="00A33E50" w:rsidRPr="00BA1CC0" w:rsidRDefault="00A33E50" w:rsidP="00753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</w:t>
            </w: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вання</w:t>
            </w:r>
          </w:p>
        </w:tc>
        <w:tc>
          <w:tcPr>
            <w:tcW w:w="3887" w:type="dxa"/>
            <w:gridSpan w:val="4"/>
          </w:tcPr>
          <w:p w:rsidR="00A33E50" w:rsidRDefault="00A33E50" w:rsidP="007532DC">
            <w:pPr>
              <w:snapToGrid w:val="0"/>
              <w:jc w:val="center"/>
            </w:pP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1893" w:type="dxa"/>
            <w:vMerge w:val="restart"/>
          </w:tcPr>
          <w:p w:rsidR="00A33E50" w:rsidRDefault="00A33E50" w:rsidP="00A33E50">
            <w:pPr>
              <w:jc w:val="center"/>
            </w:pP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A33E50" w:rsidTr="00A33E50">
        <w:tc>
          <w:tcPr>
            <w:tcW w:w="518" w:type="dxa"/>
            <w:vMerge/>
          </w:tcPr>
          <w:p w:rsidR="00A33E50" w:rsidRPr="00BA1CC0" w:rsidRDefault="00A33E50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A33E50" w:rsidRPr="00BA1CC0" w:rsidRDefault="00A33E50" w:rsidP="00593C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A33E50" w:rsidRPr="00BA1CC0" w:rsidRDefault="00A33E50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Merge/>
          </w:tcPr>
          <w:p w:rsidR="00A33E50" w:rsidRPr="00BA1CC0" w:rsidRDefault="00A33E50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:rsidR="00A33E50" w:rsidRPr="00BA1CC0" w:rsidRDefault="00A33E50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</w:tcPr>
          <w:p w:rsidR="00A33E50" w:rsidRPr="00BA1CC0" w:rsidRDefault="00A33E50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A33E50" w:rsidRPr="00A33E50" w:rsidRDefault="00A33E50" w:rsidP="007532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3E50">
              <w:rPr>
                <w:rFonts w:ascii="Times New Roman" w:hAnsi="Times New Roman" w:cs="Times New Roman"/>
                <w:b/>
                <w:sz w:val="20"/>
                <w:szCs w:val="20"/>
              </w:rPr>
              <w:t>Всього</w:t>
            </w:r>
          </w:p>
        </w:tc>
        <w:tc>
          <w:tcPr>
            <w:tcW w:w="992" w:type="dxa"/>
          </w:tcPr>
          <w:p w:rsidR="00A33E50" w:rsidRPr="00A33E50" w:rsidRDefault="00A33E50" w:rsidP="00753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E5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A33E50" w:rsidRPr="00A33E50" w:rsidRDefault="00A33E50" w:rsidP="00753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E5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:rsidR="00A33E50" w:rsidRPr="00A33E50" w:rsidRDefault="00A33E50" w:rsidP="007532DC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E5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893" w:type="dxa"/>
            <w:vMerge/>
          </w:tcPr>
          <w:p w:rsidR="00A33E50" w:rsidRPr="00BA1CC0" w:rsidRDefault="00A33E50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2DC" w:rsidTr="00A33E50">
        <w:tc>
          <w:tcPr>
            <w:tcW w:w="518" w:type="dxa"/>
            <w:vMerge w:val="restart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5" w:type="dxa"/>
            <w:vMerge w:val="restart"/>
          </w:tcPr>
          <w:p w:rsidR="007532DC" w:rsidRPr="00BA1CC0" w:rsidRDefault="007532DC" w:rsidP="00593CE6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Створення сприятливих умов для формування, інституційного розвитку, організаційної спроможності організацій громадянського суспільства</w:t>
            </w:r>
          </w:p>
        </w:tc>
        <w:tc>
          <w:tcPr>
            <w:tcW w:w="2444" w:type="dxa"/>
          </w:tcPr>
          <w:p w:rsidR="007532DC" w:rsidRPr="00BA1CC0" w:rsidRDefault="007532DC" w:rsidP="007532D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1.1. Проведення оцінки рівня організаційного та інституційного розвитку ІГС області, визначення потреб у навчанні та майбутньому розвиткові (розробка методології та  щорічне оцінювання з метою визначення рівня розвитку та потреби у навчанні ІГС)</w:t>
            </w:r>
          </w:p>
        </w:tc>
        <w:tc>
          <w:tcPr>
            <w:tcW w:w="1434" w:type="dxa"/>
          </w:tcPr>
          <w:p w:rsidR="007532DC" w:rsidRPr="00BA1CC0" w:rsidRDefault="007532DC" w:rsidP="00753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Впродовж 2021-2023 років</w:t>
            </w:r>
          </w:p>
        </w:tc>
        <w:tc>
          <w:tcPr>
            <w:tcW w:w="1727" w:type="dxa"/>
          </w:tcPr>
          <w:p w:rsidR="007532DC" w:rsidRPr="00BA1CC0" w:rsidRDefault="007532DC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комунікацій обласної державної адміністрації, ІГС </w:t>
            </w:r>
          </w:p>
        </w:tc>
        <w:tc>
          <w:tcPr>
            <w:tcW w:w="1230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910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992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</w:tcPr>
          <w:p w:rsidR="007532DC" w:rsidRPr="00BA1CC0" w:rsidRDefault="007532DC" w:rsidP="007532DC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30,0</w:t>
            </w:r>
          </w:p>
        </w:tc>
        <w:tc>
          <w:tcPr>
            <w:tcW w:w="1893" w:type="dxa"/>
          </w:tcPr>
          <w:p w:rsidR="007532DC" w:rsidRPr="00BA1CC0" w:rsidRDefault="007532DC" w:rsidP="007532DC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Визначення потенціалу ІГС області, їх організаційної та ресурсної спроможності  у реалізації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проєк</w:t>
            </w: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тів,   формування тематики навчання для представників громадських організацій  </w:t>
            </w:r>
          </w:p>
        </w:tc>
      </w:tr>
      <w:tr w:rsidR="007532DC" w:rsidTr="00A33E50">
        <w:tc>
          <w:tcPr>
            <w:tcW w:w="518" w:type="dxa"/>
            <w:vMerge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7532DC" w:rsidRPr="00BA1CC0" w:rsidRDefault="007532DC" w:rsidP="00593CE6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</w:tcPr>
          <w:p w:rsidR="007532DC" w:rsidRPr="00BA1CC0" w:rsidRDefault="007532DC" w:rsidP="007532D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1.2. Організація і проведення соціологічних досліджень, анкетувань, </w:t>
            </w:r>
            <w:proofErr w:type="spellStart"/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онлайн-опитувань</w:t>
            </w:r>
            <w:proofErr w:type="spellEnd"/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з метою вивчення громадської </w:t>
            </w: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думки щодо стану розвитку громадянського суспільства, визначення рейтингу регіональних проблем, які потребують першочергового розв’язання, оцінки діяльності місцевих органів виконавчої влади та органів місцевого самоврядування </w:t>
            </w:r>
          </w:p>
        </w:tc>
        <w:tc>
          <w:tcPr>
            <w:tcW w:w="1434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Впродовж 2021-2023 років  </w:t>
            </w:r>
          </w:p>
        </w:tc>
        <w:tc>
          <w:tcPr>
            <w:tcW w:w="1727" w:type="dxa"/>
          </w:tcPr>
          <w:p w:rsidR="007532DC" w:rsidRPr="00BA1CC0" w:rsidRDefault="007532DC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комунікацій обласної державної адміністрації, ІГС </w:t>
            </w:r>
          </w:p>
        </w:tc>
        <w:tc>
          <w:tcPr>
            <w:tcW w:w="1230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910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2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7532DC" w:rsidRPr="00BA1CC0" w:rsidRDefault="007532DC" w:rsidP="007532DC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150,0</w:t>
            </w:r>
          </w:p>
        </w:tc>
        <w:tc>
          <w:tcPr>
            <w:tcW w:w="1893" w:type="dxa"/>
          </w:tcPr>
          <w:p w:rsidR="007532DC" w:rsidRPr="00BA1CC0" w:rsidRDefault="007532DC" w:rsidP="007532DC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Визначення актуальних соціально-економічних та суспільно-політичних проблем </w:t>
            </w: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регіону, аналіз громадської думки та оцінки діяльності органів влади </w:t>
            </w:r>
          </w:p>
        </w:tc>
      </w:tr>
      <w:tr w:rsidR="007532DC" w:rsidTr="00A33E50">
        <w:tc>
          <w:tcPr>
            <w:tcW w:w="518" w:type="dxa"/>
            <w:vMerge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7532DC" w:rsidRPr="00BA1CC0" w:rsidRDefault="007532DC" w:rsidP="00593CE6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</w:tcPr>
          <w:p w:rsidR="007532DC" w:rsidRPr="00BA1CC0" w:rsidRDefault="007532DC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1.3. Створення банку ініціатив ІГС області  та  забезпечення доступу до нього шляхом </w:t>
            </w:r>
            <w:r w:rsidR="00A33E5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опри </w:t>
            </w:r>
            <w:proofErr w:type="spellStart"/>
            <w:r w:rsidR="00A33E5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люд-</w:t>
            </w: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нення</w:t>
            </w:r>
            <w:proofErr w:type="spellEnd"/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на офіційному </w:t>
            </w:r>
            <w:proofErr w:type="spellStart"/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веб-сайті</w:t>
            </w:r>
            <w:proofErr w:type="spellEnd"/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облдержадміністрації </w:t>
            </w:r>
          </w:p>
        </w:tc>
        <w:tc>
          <w:tcPr>
            <w:tcW w:w="1434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орічно</w:t>
            </w:r>
          </w:p>
        </w:tc>
        <w:tc>
          <w:tcPr>
            <w:tcW w:w="1727" w:type="dxa"/>
          </w:tcPr>
          <w:p w:rsidR="007532DC" w:rsidRPr="00BA1CC0" w:rsidRDefault="007532DC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комунікацій обласної державної адміністрації, ІГС області (за згодою) </w:t>
            </w:r>
          </w:p>
        </w:tc>
        <w:tc>
          <w:tcPr>
            <w:tcW w:w="5117" w:type="dxa"/>
            <w:gridSpan w:val="5"/>
          </w:tcPr>
          <w:p w:rsidR="007532DC" w:rsidRDefault="007532DC" w:rsidP="007532DC"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893" w:type="dxa"/>
          </w:tcPr>
          <w:p w:rsidR="007532DC" w:rsidRPr="00BA1CC0" w:rsidRDefault="007532DC" w:rsidP="007B7A0C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Залучення ІГС до вирішення проблемних питань регіональної політики </w:t>
            </w:r>
          </w:p>
        </w:tc>
      </w:tr>
      <w:tr w:rsidR="007532DC" w:rsidTr="00A33E50">
        <w:tc>
          <w:tcPr>
            <w:tcW w:w="518" w:type="dxa"/>
            <w:vMerge w:val="restart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035" w:type="dxa"/>
            <w:vMerge w:val="restart"/>
          </w:tcPr>
          <w:p w:rsidR="007532DC" w:rsidRPr="00BA1CC0" w:rsidRDefault="007532DC" w:rsidP="00593C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Забезпечення ефективних процедур участі громадськості під час формування та реалізації державної, регіональної політики, вирішення питань місцевого </w:t>
            </w:r>
            <w:r w:rsidRPr="00BA1C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значення </w:t>
            </w:r>
          </w:p>
        </w:tc>
        <w:tc>
          <w:tcPr>
            <w:tcW w:w="2444" w:type="dxa"/>
          </w:tcPr>
          <w:p w:rsidR="007532DC" w:rsidRPr="00BA1CC0" w:rsidRDefault="007532DC" w:rsidP="007532D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  Забезпечення проведення публічних консультацій з громадськістю (громадських обговорень, слухань, круглих столів) щодо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проєк</w:t>
            </w:r>
            <w:r w:rsidRPr="00BA1C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тів:</w:t>
            </w:r>
          </w:p>
          <w:p w:rsidR="007532DC" w:rsidRPr="00BA1CC0" w:rsidRDefault="007532DC" w:rsidP="007532D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обласних  соціально-економічних програм;  </w:t>
            </w:r>
          </w:p>
          <w:p w:rsidR="007532DC" w:rsidRPr="00BA1CC0" w:rsidRDefault="007532DC" w:rsidP="007532D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- розпоряджень обласної державної адміністрації; </w:t>
            </w:r>
          </w:p>
          <w:p w:rsidR="007532DC" w:rsidRPr="00BA1CC0" w:rsidRDefault="007532DC" w:rsidP="007532D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рішень обласної ради  з питань бюджету, фінансів, реалізації основних конституційних прав та свобод громадян;</w:t>
            </w:r>
          </w:p>
          <w:p w:rsidR="007532DC" w:rsidRPr="00BA1CC0" w:rsidRDefault="007532DC" w:rsidP="007532D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 регуляторних актів;</w:t>
            </w:r>
          </w:p>
          <w:p w:rsidR="007532DC" w:rsidRPr="00BA1CC0" w:rsidRDefault="007532DC" w:rsidP="007532DC">
            <w:pPr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 інших актів що мають важливе суспільне значення </w:t>
            </w:r>
          </w:p>
        </w:tc>
        <w:tc>
          <w:tcPr>
            <w:tcW w:w="1434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Впродовж 2021-2023 років  </w:t>
            </w:r>
          </w:p>
        </w:tc>
        <w:tc>
          <w:tcPr>
            <w:tcW w:w="1727" w:type="dxa"/>
          </w:tcPr>
          <w:p w:rsidR="007532DC" w:rsidRPr="00BA1CC0" w:rsidRDefault="007532DC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 обласної державної адміністрації, громадська рада при облдержадміністрації, структурні підрозділи облдержадміністрації</w:t>
            </w:r>
          </w:p>
        </w:tc>
        <w:tc>
          <w:tcPr>
            <w:tcW w:w="1230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910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992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3" w:type="dxa"/>
          </w:tcPr>
          <w:p w:rsidR="007532DC" w:rsidRPr="00BA1CC0" w:rsidRDefault="007532DC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893" w:type="dxa"/>
          </w:tcPr>
          <w:p w:rsidR="007532DC" w:rsidRPr="00BA1CC0" w:rsidRDefault="007532DC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Підвищення якості нормативних актів, що приймає місцева влада з огляду на задоволення потреб громадськості</w:t>
            </w:r>
          </w:p>
        </w:tc>
      </w:tr>
      <w:tr w:rsidR="007532DC" w:rsidTr="00A33E50">
        <w:tc>
          <w:tcPr>
            <w:tcW w:w="518" w:type="dxa"/>
            <w:vMerge/>
          </w:tcPr>
          <w:p w:rsidR="007532DC" w:rsidRPr="00BA1CC0" w:rsidRDefault="007532DC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7532DC" w:rsidRPr="00BA1CC0" w:rsidRDefault="007532DC" w:rsidP="00593C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7532DC" w:rsidRPr="00BA1CC0" w:rsidRDefault="007532DC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2.2.Розробка та затвердження Порядку проведення структурними підрозділами обласної державної адміністрації консультацій з громадськістю </w:t>
            </w:r>
          </w:p>
        </w:tc>
        <w:tc>
          <w:tcPr>
            <w:tcW w:w="1434" w:type="dxa"/>
          </w:tcPr>
          <w:p w:rsidR="007532DC" w:rsidRPr="00BA1CC0" w:rsidRDefault="007532DC" w:rsidP="007532DC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Впродовж 2021-2023 років  </w:t>
            </w:r>
          </w:p>
        </w:tc>
        <w:tc>
          <w:tcPr>
            <w:tcW w:w="1727" w:type="dxa"/>
          </w:tcPr>
          <w:p w:rsidR="007532DC" w:rsidRPr="00BA1CC0" w:rsidRDefault="007532DC" w:rsidP="007532DC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комунікацій, структурні підрозділи обласної державної адміністрації</w:t>
            </w:r>
          </w:p>
        </w:tc>
        <w:tc>
          <w:tcPr>
            <w:tcW w:w="5117" w:type="dxa"/>
            <w:gridSpan w:val="5"/>
          </w:tcPr>
          <w:p w:rsidR="007532DC" w:rsidRDefault="007532DC" w:rsidP="007532DC"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Вкладень коштів не потребує </w:t>
            </w:r>
          </w:p>
        </w:tc>
        <w:tc>
          <w:tcPr>
            <w:tcW w:w="1893" w:type="dxa"/>
          </w:tcPr>
          <w:p w:rsidR="007532DC" w:rsidRPr="00BA1CC0" w:rsidRDefault="007532DC" w:rsidP="0086131C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Систематизація роботи структурних підрозділів щодо проведення консультацій з громадськістю</w:t>
            </w:r>
          </w:p>
        </w:tc>
      </w:tr>
      <w:tr w:rsidR="007532DC" w:rsidTr="00A33E50">
        <w:tc>
          <w:tcPr>
            <w:tcW w:w="518" w:type="dxa"/>
            <w:vMerge/>
          </w:tcPr>
          <w:p w:rsidR="007532DC" w:rsidRPr="00BA1CC0" w:rsidRDefault="007532DC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7532DC" w:rsidRPr="00BA1CC0" w:rsidRDefault="007532DC" w:rsidP="00593C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7532DC" w:rsidRPr="00BA1CC0" w:rsidRDefault="007532DC" w:rsidP="007532DC">
            <w:pPr>
              <w:pStyle w:val="1"/>
              <w:jc w:val="left"/>
              <w:rPr>
                <w:spacing w:val="-4"/>
                <w:sz w:val="24"/>
                <w:szCs w:val="24"/>
                <w:lang w:val="uk-UA"/>
              </w:rPr>
            </w:pPr>
            <w:r w:rsidRPr="00BA1CC0">
              <w:rPr>
                <w:spacing w:val="-2"/>
                <w:sz w:val="24"/>
                <w:szCs w:val="24"/>
                <w:lang w:val="uk-UA"/>
              </w:rPr>
              <w:t xml:space="preserve">2.3. </w:t>
            </w:r>
            <w:r w:rsidRPr="00BA1CC0">
              <w:rPr>
                <w:sz w:val="24"/>
                <w:szCs w:val="24"/>
                <w:lang w:val="uk-UA"/>
              </w:rPr>
              <w:t xml:space="preserve">Залучення інститутів громадянського суспільства до роботи у складі комітетів, комісій, оргкомітетів, експертних та робочих груп, інших консультативно-дорадчих чи допоміжних органів виконавчої влади та </w:t>
            </w:r>
            <w:r w:rsidRPr="00BA1CC0">
              <w:rPr>
                <w:sz w:val="24"/>
                <w:szCs w:val="24"/>
                <w:lang w:val="uk-UA"/>
              </w:rPr>
              <w:lastRenderedPageBreak/>
              <w:t>місцевого самоврядування, до розробки та експертизи регіональних та місцевих програм</w:t>
            </w:r>
          </w:p>
        </w:tc>
        <w:tc>
          <w:tcPr>
            <w:tcW w:w="1434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Впродовж 2021-2023 років  </w:t>
            </w:r>
          </w:p>
        </w:tc>
        <w:tc>
          <w:tcPr>
            <w:tcW w:w="1727" w:type="dxa"/>
          </w:tcPr>
          <w:p w:rsidR="007532DC" w:rsidRPr="00BA1CC0" w:rsidRDefault="007532DC" w:rsidP="007532DC">
            <w:pPr>
              <w:snapToGrid w:val="0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комунікацій, структурні підрозділи обласної державної адміністрації</w:t>
            </w:r>
          </w:p>
        </w:tc>
        <w:tc>
          <w:tcPr>
            <w:tcW w:w="5117" w:type="dxa"/>
            <w:gridSpan w:val="5"/>
          </w:tcPr>
          <w:p w:rsidR="007532DC" w:rsidRDefault="007532DC" w:rsidP="007532DC"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893" w:type="dxa"/>
          </w:tcPr>
          <w:p w:rsidR="007532DC" w:rsidRPr="00BA1CC0" w:rsidRDefault="007532DC" w:rsidP="00621553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Залучення ІГС до вирішення проблемних питань регіональної політики</w:t>
            </w:r>
          </w:p>
        </w:tc>
      </w:tr>
      <w:tr w:rsidR="007532DC" w:rsidTr="00A33E50">
        <w:tc>
          <w:tcPr>
            <w:tcW w:w="518" w:type="dxa"/>
            <w:vMerge/>
          </w:tcPr>
          <w:p w:rsidR="007532DC" w:rsidRPr="00BA1CC0" w:rsidRDefault="007532DC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7532DC" w:rsidRPr="00BA1CC0" w:rsidRDefault="007532DC" w:rsidP="00593C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7532DC" w:rsidRPr="00BA1CC0" w:rsidRDefault="007532DC" w:rsidP="007532D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2.4.Запровадженя систематичних  зустрічей  керівництва облдержадміністрації, обласної ради та депутатів обласної ради з представниками інститутів громадянського суспільства  для обговорення актуальних питань розвитку регіону та реалізації суспільно корисних ініціатив</w:t>
            </w:r>
          </w:p>
        </w:tc>
        <w:tc>
          <w:tcPr>
            <w:tcW w:w="1434" w:type="dxa"/>
          </w:tcPr>
          <w:p w:rsidR="007532DC" w:rsidRPr="00BA1CC0" w:rsidRDefault="007532DC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Впродовж 2021-2023 років  </w:t>
            </w:r>
          </w:p>
        </w:tc>
        <w:tc>
          <w:tcPr>
            <w:tcW w:w="1727" w:type="dxa"/>
          </w:tcPr>
          <w:p w:rsidR="007532DC" w:rsidRPr="00BA1CC0" w:rsidRDefault="007532DC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комунікацій, структурні підрозділи обласної державної адміністрації, обласна рада </w:t>
            </w:r>
          </w:p>
        </w:tc>
        <w:tc>
          <w:tcPr>
            <w:tcW w:w="5117" w:type="dxa"/>
            <w:gridSpan w:val="5"/>
          </w:tcPr>
          <w:p w:rsidR="007532DC" w:rsidRDefault="007532DC" w:rsidP="007532DC"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893" w:type="dxa"/>
          </w:tcPr>
          <w:p w:rsidR="007532DC" w:rsidRPr="00BA1CC0" w:rsidRDefault="007532DC" w:rsidP="004F0914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Створення умов для реалізації громадянами конституційного права на участь в управлінні державними справами на території області </w:t>
            </w:r>
          </w:p>
        </w:tc>
      </w:tr>
      <w:tr w:rsidR="00593CE6" w:rsidTr="00A33E50">
        <w:tc>
          <w:tcPr>
            <w:tcW w:w="518" w:type="dxa"/>
            <w:vMerge w:val="restart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35" w:type="dxa"/>
            <w:vMerge w:val="restart"/>
          </w:tcPr>
          <w:p w:rsidR="00593CE6" w:rsidRPr="00BA1CC0" w:rsidRDefault="00593CE6" w:rsidP="00CD5B00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Стимулювання участі організацій громадянського суспільства у соціально-економічному розвитку  та підтримка ініціатив ІГС для вирішення завдань регіональної </w:t>
            </w:r>
            <w:r w:rsidRPr="00BA1C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політики</w:t>
            </w:r>
            <w:r w:rsidRPr="00BA1C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444" w:type="dxa"/>
          </w:tcPr>
          <w:p w:rsidR="00593CE6" w:rsidRPr="00BA1CC0" w:rsidRDefault="00593CE6" w:rsidP="00A33E50">
            <w:pPr>
              <w:snapToGri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3.1.</w:t>
            </w:r>
            <w:r w:rsidRPr="00BA1CC0">
              <w:rPr>
                <w:rFonts w:ascii="Times New Roman" w:hAnsi="Times New Roman" w:cs="Times New Roman"/>
                <w:color w:val="800000"/>
                <w:spacing w:val="-4"/>
                <w:sz w:val="24"/>
                <w:szCs w:val="24"/>
              </w:rPr>
              <w:t xml:space="preserve"> </w:t>
            </w:r>
            <w:r w:rsidRPr="00BA1C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Підтримка на конкурсних засадах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проєк</w:t>
            </w:r>
            <w:r w:rsidRPr="00BA1C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тів і програм інститутів громадянського суспільства, спрямованих на вирішення завдань місцевої політики, відповідно до Порядку проведення конкурсу, затвердженого </w:t>
            </w:r>
            <w:r w:rsidRPr="00BA1C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постановою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КМУ</w:t>
            </w:r>
            <w:r w:rsidRPr="00BA1CC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від 12.11.2011 № 1049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орічно </w:t>
            </w:r>
          </w:p>
        </w:tc>
        <w:tc>
          <w:tcPr>
            <w:tcW w:w="1727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 обласної державної адміністрації,</w:t>
            </w:r>
          </w:p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 ІГС</w:t>
            </w:r>
          </w:p>
        </w:tc>
        <w:tc>
          <w:tcPr>
            <w:tcW w:w="123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91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1000,0</w:t>
            </w:r>
          </w:p>
        </w:tc>
        <w:tc>
          <w:tcPr>
            <w:tcW w:w="993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1000,0</w:t>
            </w:r>
          </w:p>
        </w:tc>
        <w:tc>
          <w:tcPr>
            <w:tcW w:w="1893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Залучення ІГС до вирішення пріоритетних завдань регіонального розвитку</w:t>
            </w:r>
          </w:p>
        </w:tc>
      </w:tr>
      <w:tr w:rsidR="00593CE6" w:rsidTr="00A33E50">
        <w:tc>
          <w:tcPr>
            <w:tcW w:w="518" w:type="dxa"/>
            <w:vMerge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3.2.Проведення моніторингу реалізації підтриманих за результатами конкурсу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проє</w:t>
            </w: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тів</w:t>
            </w:r>
            <w:proofErr w:type="spellEnd"/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та програм громадських, благодійних організацій та творчих спілок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орічно</w:t>
            </w:r>
          </w:p>
        </w:tc>
        <w:tc>
          <w:tcPr>
            <w:tcW w:w="1727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комунікацій обласної державної адміністрації, громадська рада при обласній державній адміністрації, ІГС </w:t>
            </w:r>
          </w:p>
        </w:tc>
        <w:tc>
          <w:tcPr>
            <w:tcW w:w="5117" w:type="dxa"/>
            <w:gridSpan w:val="5"/>
          </w:tcPr>
          <w:p w:rsidR="00593CE6" w:rsidRDefault="00593CE6" w:rsidP="007532DC"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893" w:type="dxa"/>
          </w:tcPr>
          <w:p w:rsidR="00593CE6" w:rsidRPr="00BA1CC0" w:rsidRDefault="00593CE6" w:rsidP="00050797">
            <w:pPr>
              <w:snapToGri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Забезпечення ефективного використання коштів для підтримки ініціатив ІГС, спрямованих на вирішення завдань регіональної політики</w:t>
            </w:r>
          </w:p>
        </w:tc>
      </w:tr>
      <w:tr w:rsidR="00593CE6" w:rsidTr="00A33E50">
        <w:tc>
          <w:tcPr>
            <w:tcW w:w="518" w:type="dxa"/>
            <w:vMerge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3.3. Організація для представників  ІГС Днів відкритих дверей у структурних підрозділах обласної державної адміністрації.  </w:t>
            </w:r>
            <w:r w:rsidRPr="00BA1C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Запровадження практики стажувань представників ІГС на базі місцевих органів виконавчої влади та органів місцевого самоврядування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Щорічно</w:t>
            </w:r>
          </w:p>
        </w:tc>
        <w:tc>
          <w:tcPr>
            <w:tcW w:w="1727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комунікацій обласної державної адміністрації, відділ управління персоналом та нагород апарату обласної державної адміністрації, обласна рада </w:t>
            </w:r>
          </w:p>
        </w:tc>
        <w:tc>
          <w:tcPr>
            <w:tcW w:w="5117" w:type="dxa"/>
            <w:gridSpan w:val="5"/>
          </w:tcPr>
          <w:p w:rsidR="00593CE6" w:rsidRDefault="00593CE6" w:rsidP="007532DC"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893" w:type="dxa"/>
          </w:tcPr>
          <w:p w:rsidR="00593CE6" w:rsidRPr="00BA1CC0" w:rsidRDefault="00593CE6" w:rsidP="00605F5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Підвищення організаційної спроможності ІГС, залучення кращих працівників ІГС до роботи в органах влади</w:t>
            </w:r>
          </w:p>
        </w:tc>
      </w:tr>
      <w:tr w:rsidR="00593CE6" w:rsidTr="00A33E50">
        <w:tc>
          <w:tcPr>
            <w:tcW w:w="518" w:type="dxa"/>
            <w:vMerge w:val="restart"/>
          </w:tcPr>
          <w:p w:rsidR="00593CE6" w:rsidRPr="00BA1CC0" w:rsidRDefault="00593CE6" w:rsidP="00593C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35" w:type="dxa"/>
            <w:vMerge w:val="restart"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Підвищення професійного рівня та інституційної спроможності ІГС. Забезпечення поінформованості суспільства   </w:t>
            </w:r>
            <w:r w:rsidRPr="00BA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про діяльність ІГС </w:t>
            </w:r>
          </w:p>
        </w:tc>
        <w:tc>
          <w:tcPr>
            <w:tcW w:w="2444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4.1.Проведення:</w:t>
            </w:r>
          </w:p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 - навчальних тренінгів для ІГС області за проблематикою їх інституційного та професійного розвитку, підвищення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ефективності громадської діяльності; </w:t>
            </w:r>
          </w:p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- спільних </w:t>
            </w: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семінарів,  тренінгів для фахівців органів  виконавчої влади, місцевого самоврядування  та представників ІГС з питань проведення   громадської експертизи, організації доступу до публічної інформації, антикорупційної експертизи, консультацій з громадськістю, створення та налагодження роботи громадських рад, запровадження соціального замовлення, проведення конкурсів для фінансової підтримки ІГС, тощо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Впродовж 2021-2023 років</w:t>
            </w:r>
          </w:p>
        </w:tc>
        <w:tc>
          <w:tcPr>
            <w:tcW w:w="1727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комунікацій обласної державної адміністрації,  регіональний центр перепідготовки та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підвищення кваліфікації працівників органів державної влади, органів місцевого самоврядування, державних підприємств, установ та організацій обласної державної адміністрації; громадська рада при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асній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вній а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дмініст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рації, ІГС  </w:t>
            </w:r>
          </w:p>
        </w:tc>
        <w:tc>
          <w:tcPr>
            <w:tcW w:w="123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</w:tc>
        <w:tc>
          <w:tcPr>
            <w:tcW w:w="91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893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Підвищення компетентності ІГС області  в сфері їх інституційного, кадрового, професійного розвитку, статутної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діяльності;   п</w:t>
            </w:r>
            <w:r w:rsidRPr="00BA1C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ідвищення професійного рівня посадових осіб та представників ІГС щодо використання інструментів сприяння розвитку громадянського суспільства та участі громадськості у формуванні та реалізації державної політики</w:t>
            </w:r>
          </w:p>
        </w:tc>
      </w:tr>
      <w:tr w:rsidR="00593CE6" w:rsidTr="00A33E50">
        <w:tc>
          <w:tcPr>
            <w:tcW w:w="518" w:type="dxa"/>
            <w:vMerge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593CE6" w:rsidRPr="00BA1CC0" w:rsidRDefault="00593CE6" w:rsidP="00A33E5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4.2. Сприяння діяльності громадської ради при обласній державній адм</w:t>
            </w:r>
            <w:r w:rsidR="00A33E50">
              <w:rPr>
                <w:rFonts w:ascii="Times New Roman" w:hAnsi="Times New Roman" w:cs="Times New Roman"/>
                <w:sz w:val="24"/>
                <w:szCs w:val="24"/>
              </w:rPr>
              <w:t>іністрації (у т.ч. матеріально-т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ехнічна, інформаційна підтримка та </w:t>
            </w:r>
            <w:proofErr w:type="spellStart"/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менторство</w:t>
            </w:r>
            <w:proofErr w:type="spellEnd"/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Впродовж 2021-2023 років </w:t>
            </w:r>
          </w:p>
        </w:tc>
        <w:tc>
          <w:tcPr>
            <w:tcW w:w="1727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комунікацій обласної державної адміністрації, громадська рада при обласній державній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адміністрації </w:t>
            </w:r>
          </w:p>
        </w:tc>
        <w:tc>
          <w:tcPr>
            <w:tcW w:w="123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</w:tc>
        <w:tc>
          <w:tcPr>
            <w:tcW w:w="91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93" w:type="dxa"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сприятливих умов для діяльності громадської ради при обласній державній адміністрації </w:t>
            </w:r>
          </w:p>
        </w:tc>
      </w:tr>
      <w:tr w:rsidR="00593CE6" w:rsidTr="00A33E50">
        <w:tc>
          <w:tcPr>
            <w:tcW w:w="518" w:type="dxa"/>
            <w:vMerge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4.3.Проведення щорічного регіонального Форуму з питань розвитку громадянського суспільства 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Щорічно</w:t>
            </w:r>
          </w:p>
        </w:tc>
        <w:tc>
          <w:tcPr>
            <w:tcW w:w="1727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 обласної державної адміністрації, громадська рада при обласній державній адміністрації, ІГС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ю</w:t>
            </w:r>
          </w:p>
        </w:tc>
        <w:tc>
          <w:tcPr>
            <w:tcW w:w="123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91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893" w:type="dxa"/>
          </w:tcPr>
          <w:p w:rsidR="00593CE6" w:rsidRPr="00BA1CC0" w:rsidRDefault="00593CE6" w:rsidP="00A3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Створення умов для комунікації та обміну досвідом між інститутами громадянського суспільства, органами виконавчої влади та місцевого самоврядуванн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593CE6" w:rsidTr="00A33E50">
        <w:tc>
          <w:tcPr>
            <w:tcW w:w="518" w:type="dxa"/>
            <w:vMerge w:val="restart"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35" w:type="dxa"/>
            <w:vMerge w:val="restart"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Заходи з відзначення державних, регіональних свят, знаменних та пам’ятних дат, тощо</w:t>
            </w:r>
          </w:p>
        </w:tc>
        <w:tc>
          <w:tcPr>
            <w:tcW w:w="2444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5.1. Забезпечення заходів з</w:t>
            </w:r>
            <w:r w:rsidRPr="00BA1CC0">
              <w:t xml:space="preserve"> в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ідзначення державних і професійних свят, історичних та визначних подій, ювілейних та пам’ятних дат; забезпечення участі делегацій області у загальнодержавних  заходах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Впродовж 2021-2023 років</w:t>
            </w:r>
          </w:p>
        </w:tc>
        <w:tc>
          <w:tcPr>
            <w:tcW w:w="1727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 обласної державної адміністрації,</w:t>
            </w:r>
          </w:p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обласна рада</w:t>
            </w:r>
          </w:p>
        </w:tc>
        <w:tc>
          <w:tcPr>
            <w:tcW w:w="123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91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593C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3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893" w:type="dxa"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Реалізація державної політики у сфері вдосконалення форм і методів проведення заходів, присвячених відзначенню державних га місцевих свят</w:t>
            </w:r>
          </w:p>
        </w:tc>
      </w:tr>
      <w:tr w:rsidR="00593CE6" w:rsidTr="00A33E50">
        <w:tc>
          <w:tcPr>
            <w:tcW w:w="518" w:type="dxa"/>
            <w:vMerge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4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 Підготовка та проведення заходів з нагоди 30-ї річниці незалежності України 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р.</w:t>
            </w:r>
          </w:p>
        </w:tc>
        <w:tc>
          <w:tcPr>
            <w:tcW w:w="1727" w:type="dxa"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 обласної державної адміністрації,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структурні підрозділи обласної державної адміністрації</w:t>
            </w:r>
          </w:p>
        </w:tc>
        <w:tc>
          <w:tcPr>
            <w:tcW w:w="123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91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3" w:type="dxa"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Гідне відзначення у 2021 році 30-ї річниці незалежності України</w:t>
            </w:r>
          </w:p>
        </w:tc>
      </w:tr>
      <w:tr w:rsidR="00593CE6" w:rsidTr="00A33E50">
        <w:tc>
          <w:tcPr>
            <w:tcW w:w="518" w:type="dxa"/>
            <w:vMerge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4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. Проведення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інших заходів на виконання Указів Президента України, постанов, розпоряджень  Кабінету Міністрів України,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доручень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Офісу Президента , розпоряджень обласної державної адміністрації 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Впродовж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2021-2023 років</w:t>
            </w:r>
          </w:p>
        </w:tc>
        <w:tc>
          <w:tcPr>
            <w:tcW w:w="1727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Департамент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комунікацій обласної державної адміністрації, структурні підрозділи облдержадміністрації </w:t>
            </w:r>
          </w:p>
        </w:tc>
        <w:tc>
          <w:tcPr>
            <w:tcW w:w="123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Обласний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91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93" w:type="dxa"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фінансування заходів, передбачених Указами Президента, постановами та розпорядженнями Кабінету Міністрів України, розпорядженнями обласної державної  адміністрації</w:t>
            </w:r>
          </w:p>
        </w:tc>
      </w:tr>
      <w:tr w:rsidR="00593CE6" w:rsidTr="00A33E50">
        <w:tc>
          <w:tcPr>
            <w:tcW w:w="518" w:type="dxa"/>
            <w:vMerge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4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.Організація та проведення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обласних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конкурсів «Успішна громада Буковини» та «Найкраще село Буковини»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Щорічно</w:t>
            </w:r>
          </w:p>
        </w:tc>
        <w:tc>
          <w:tcPr>
            <w:tcW w:w="1727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комунікацій, Департамент регіонального розвитку обласної державної адміністрації, Агенція регіонального розвитку Чернівецької області </w:t>
            </w:r>
          </w:p>
        </w:tc>
        <w:tc>
          <w:tcPr>
            <w:tcW w:w="123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91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893" w:type="dxa"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Сприяння реалізації громадських ініціатив та підвищення активності громадян у вирішенні місцевих проблем  </w:t>
            </w:r>
          </w:p>
        </w:tc>
      </w:tr>
      <w:tr w:rsidR="00593CE6" w:rsidTr="00A33E50">
        <w:tc>
          <w:tcPr>
            <w:tcW w:w="518" w:type="dxa"/>
            <w:vMerge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4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. Забезпечення квітковою продукцією для покладань до пам’ятників та пам’ятних знаків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Впродовж 2021-2023 років</w:t>
            </w:r>
          </w:p>
        </w:tc>
        <w:tc>
          <w:tcPr>
            <w:tcW w:w="1727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комунікацій обласної державної адміністрації, </w:t>
            </w:r>
          </w:p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обласна рада </w:t>
            </w:r>
          </w:p>
        </w:tc>
        <w:tc>
          <w:tcPr>
            <w:tcW w:w="123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91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593C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93" w:type="dxa"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Належне проведення заходів</w:t>
            </w:r>
          </w:p>
        </w:tc>
      </w:tr>
      <w:tr w:rsidR="00593CE6" w:rsidTr="00A33E50">
        <w:tc>
          <w:tcPr>
            <w:tcW w:w="518" w:type="dxa"/>
            <w:vMerge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4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Виготовлення та п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оширення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соціальної реклами з відзначення святкових заходів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пам’ятних дат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 та інших важливих подій області та держави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Впродовж 2021-2023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років</w:t>
            </w:r>
          </w:p>
        </w:tc>
        <w:tc>
          <w:tcPr>
            <w:tcW w:w="1727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Департамент комунікацій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обласної державної адміністрації</w:t>
            </w:r>
          </w:p>
        </w:tc>
        <w:tc>
          <w:tcPr>
            <w:tcW w:w="123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</w:tc>
        <w:tc>
          <w:tcPr>
            <w:tcW w:w="91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3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93" w:type="dxa"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Популяризація серед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громадськості державницьких поглядів, сприяння консолідації суспільства </w:t>
            </w:r>
          </w:p>
        </w:tc>
      </w:tr>
      <w:tr w:rsidR="00593CE6" w:rsidTr="00A33E50">
        <w:tc>
          <w:tcPr>
            <w:tcW w:w="518" w:type="dxa"/>
            <w:vMerge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4" w:type="dxa"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. Нагородження відзнакою Чернівецької обласної ради «За заслуги перед Буковиною» та цінними подарунками (годинник, тощо), придбання квіткової продукції для нагороджених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Впродовж 2021-2023 років</w:t>
            </w:r>
          </w:p>
        </w:tc>
        <w:tc>
          <w:tcPr>
            <w:tcW w:w="1727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Обласна рада </w:t>
            </w:r>
          </w:p>
        </w:tc>
        <w:tc>
          <w:tcPr>
            <w:tcW w:w="123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91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3" w:type="dxa"/>
          </w:tcPr>
          <w:p w:rsidR="00593CE6" w:rsidRPr="00BA1CC0" w:rsidRDefault="00593CE6" w:rsidP="00593CE6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893" w:type="dxa"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Відзначення громадян за вагомий особистий внесок у соціально-економічний та культурний розвиток області, активну благодійну і громадську діяльність, зміцнення обороноздатності та безпеки України, особисту мужність та героїзм, виявленні під час захисту державного суверенітету й територіальної цілісності держави, а також з нагоди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державних та професійних свят</w:t>
            </w:r>
          </w:p>
        </w:tc>
      </w:tr>
      <w:tr w:rsidR="00593CE6" w:rsidTr="00A33E50">
        <w:tc>
          <w:tcPr>
            <w:tcW w:w="518" w:type="dxa"/>
            <w:vMerge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vMerge/>
          </w:tcPr>
          <w:p w:rsidR="00593CE6" w:rsidRPr="00BA1CC0" w:rsidRDefault="00593CE6" w:rsidP="00593CE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4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. Проведення заходів, пов’язаних з присвоєнням звання «Почесний громадянин Буковини»</w:t>
            </w:r>
          </w:p>
        </w:tc>
        <w:tc>
          <w:tcPr>
            <w:tcW w:w="1434" w:type="dxa"/>
          </w:tcPr>
          <w:p w:rsidR="00593CE6" w:rsidRPr="00BA1CC0" w:rsidRDefault="00593CE6" w:rsidP="007532D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Впродовж 2021-2023 років</w:t>
            </w:r>
          </w:p>
        </w:tc>
        <w:tc>
          <w:tcPr>
            <w:tcW w:w="1727" w:type="dxa"/>
          </w:tcPr>
          <w:p w:rsidR="00593CE6" w:rsidRPr="00BA1CC0" w:rsidRDefault="00593CE6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Обласна рада </w:t>
            </w:r>
          </w:p>
        </w:tc>
        <w:tc>
          <w:tcPr>
            <w:tcW w:w="123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910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</w:tcPr>
          <w:p w:rsidR="00593CE6" w:rsidRPr="00BA1CC0" w:rsidRDefault="00593CE6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60,0 </w:t>
            </w:r>
          </w:p>
        </w:tc>
        <w:tc>
          <w:tcPr>
            <w:tcW w:w="1893" w:type="dxa"/>
          </w:tcPr>
          <w:p w:rsidR="00593CE6" w:rsidRPr="00BA1CC0" w:rsidRDefault="00593CE6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Відзначення громадян за вагомий особистий внесок у розвиток Чернівецької області </w:t>
            </w:r>
          </w:p>
        </w:tc>
      </w:tr>
      <w:tr w:rsidR="007532DC" w:rsidTr="00A33E50">
        <w:tc>
          <w:tcPr>
            <w:tcW w:w="518" w:type="dxa"/>
          </w:tcPr>
          <w:p w:rsidR="007532DC" w:rsidRPr="00BA1CC0" w:rsidRDefault="007532DC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5" w:type="dxa"/>
          </w:tcPr>
          <w:p w:rsidR="007532DC" w:rsidRPr="00BA1CC0" w:rsidRDefault="007532DC" w:rsidP="00A33E50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Поглиблення  взаємодії територіальних громад, органів місцевого самоврядування у вирішенні завдань та функцій місцевого</w:t>
            </w:r>
            <w:r w:rsidRPr="00BA1C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самоврядування</w:t>
            </w:r>
          </w:p>
        </w:tc>
        <w:tc>
          <w:tcPr>
            <w:tcW w:w="2444" w:type="dxa"/>
          </w:tcPr>
          <w:p w:rsidR="007532DC" w:rsidRPr="00BA1CC0" w:rsidRDefault="007532DC" w:rsidP="007532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Сплата членських внесків обласною радою до Всеукраїнської Асоціації місцевих та регіональних влад</w:t>
            </w:r>
          </w:p>
        </w:tc>
        <w:tc>
          <w:tcPr>
            <w:tcW w:w="1434" w:type="dxa"/>
          </w:tcPr>
          <w:p w:rsidR="007532DC" w:rsidRPr="00BA1CC0" w:rsidRDefault="007532DC" w:rsidP="00753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Щорічно</w:t>
            </w:r>
          </w:p>
        </w:tc>
        <w:tc>
          <w:tcPr>
            <w:tcW w:w="1727" w:type="dxa"/>
          </w:tcPr>
          <w:p w:rsidR="007532DC" w:rsidRPr="00BA1CC0" w:rsidRDefault="007532DC" w:rsidP="00753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Обласна рада</w:t>
            </w:r>
          </w:p>
        </w:tc>
        <w:tc>
          <w:tcPr>
            <w:tcW w:w="1230" w:type="dxa"/>
          </w:tcPr>
          <w:p w:rsidR="007532DC" w:rsidRPr="00BA1CC0" w:rsidRDefault="007532DC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910" w:type="dxa"/>
          </w:tcPr>
          <w:p w:rsidR="007532DC" w:rsidRPr="00BA1CC0" w:rsidRDefault="007532DC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992" w:type="dxa"/>
          </w:tcPr>
          <w:p w:rsidR="007532DC" w:rsidRPr="00BA1CC0" w:rsidRDefault="007532DC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</w:tcPr>
          <w:p w:rsidR="007532DC" w:rsidRPr="00BA1CC0" w:rsidRDefault="007532DC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7532DC" w:rsidRPr="00BA1CC0" w:rsidRDefault="007532DC" w:rsidP="007532DC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93" w:type="dxa"/>
          </w:tcPr>
          <w:p w:rsidR="007532DC" w:rsidRPr="00BA1CC0" w:rsidRDefault="007532DC" w:rsidP="00A3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 співпраці територіальних громад, органів місцевого самоврядування </w:t>
            </w:r>
          </w:p>
        </w:tc>
      </w:tr>
      <w:tr w:rsidR="00CD5B00" w:rsidTr="00A33E50">
        <w:tc>
          <w:tcPr>
            <w:tcW w:w="518" w:type="dxa"/>
          </w:tcPr>
          <w:p w:rsidR="00CD5B00" w:rsidRPr="00BA1CC0" w:rsidRDefault="00CD5B00" w:rsidP="007532DC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70" w:type="dxa"/>
            <w:gridSpan w:val="5"/>
          </w:tcPr>
          <w:p w:rsidR="00CD5B00" w:rsidRPr="00BA1CC0" w:rsidRDefault="00CD5B00" w:rsidP="00593CE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5B00" w:rsidRPr="00BA1CC0" w:rsidRDefault="00CD5B00" w:rsidP="00593CE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Всього за завданнями Програми</w:t>
            </w:r>
          </w:p>
          <w:p w:rsidR="00CD5B00" w:rsidRPr="00BA1CC0" w:rsidRDefault="00CD5B00" w:rsidP="007532DC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910" w:type="dxa"/>
          </w:tcPr>
          <w:p w:rsidR="00CD5B00" w:rsidRPr="00CD5B00" w:rsidRDefault="00CD5B00" w:rsidP="00307E3E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5B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11035,0</w:t>
            </w:r>
          </w:p>
        </w:tc>
        <w:tc>
          <w:tcPr>
            <w:tcW w:w="992" w:type="dxa"/>
          </w:tcPr>
          <w:p w:rsidR="00CD5B00" w:rsidRPr="00BA1CC0" w:rsidRDefault="00CD5B00" w:rsidP="00307E3E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7</w:t>
            </w: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85,0</w:t>
            </w:r>
          </w:p>
        </w:tc>
        <w:tc>
          <w:tcPr>
            <w:tcW w:w="992" w:type="dxa"/>
          </w:tcPr>
          <w:p w:rsidR="00CD5B00" w:rsidRPr="00BA1CC0" w:rsidRDefault="00CD5B00" w:rsidP="00307E3E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3575,0</w:t>
            </w:r>
          </w:p>
        </w:tc>
        <w:tc>
          <w:tcPr>
            <w:tcW w:w="993" w:type="dxa"/>
          </w:tcPr>
          <w:p w:rsidR="00CD5B00" w:rsidRPr="00BA1CC0" w:rsidRDefault="00CD5B00" w:rsidP="00307E3E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6</w:t>
            </w: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75,0</w:t>
            </w:r>
          </w:p>
        </w:tc>
        <w:tc>
          <w:tcPr>
            <w:tcW w:w="1893" w:type="dxa"/>
          </w:tcPr>
          <w:p w:rsidR="00CD5B00" w:rsidRDefault="00CD5B00" w:rsidP="007532DC"/>
        </w:tc>
      </w:tr>
      <w:tr w:rsidR="00CD5B00" w:rsidTr="00A33E50">
        <w:tc>
          <w:tcPr>
            <w:tcW w:w="518" w:type="dxa"/>
          </w:tcPr>
          <w:p w:rsidR="00CD5B00" w:rsidRPr="00BA1CC0" w:rsidRDefault="00CD5B00" w:rsidP="007532DC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70" w:type="dxa"/>
            <w:gridSpan w:val="5"/>
          </w:tcPr>
          <w:p w:rsidR="00CD5B00" w:rsidRPr="00BA1CC0" w:rsidRDefault="00CD5B00" w:rsidP="00593CE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5B00" w:rsidRPr="00BA1CC0" w:rsidRDefault="00CD5B00" w:rsidP="007532DC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sz w:val="24"/>
                <w:szCs w:val="24"/>
              </w:rPr>
              <w:t>Обласний бюджет</w:t>
            </w:r>
          </w:p>
        </w:tc>
        <w:tc>
          <w:tcPr>
            <w:tcW w:w="910" w:type="dxa"/>
          </w:tcPr>
          <w:p w:rsidR="00CD5B00" w:rsidRPr="00CD5B00" w:rsidRDefault="00CD5B00" w:rsidP="00CA020B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5B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11035,0</w:t>
            </w:r>
          </w:p>
        </w:tc>
        <w:tc>
          <w:tcPr>
            <w:tcW w:w="992" w:type="dxa"/>
          </w:tcPr>
          <w:p w:rsidR="00CD5B00" w:rsidRPr="00BA1CC0" w:rsidRDefault="00CD5B00" w:rsidP="00CA020B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7</w:t>
            </w: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85,0</w:t>
            </w:r>
          </w:p>
        </w:tc>
        <w:tc>
          <w:tcPr>
            <w:tcW w:w="992" w:type="dxa"/>
          </w:tcPr>
          <w:p w:rsidR="00CD5B00" w:rsidRPr="00BA1CC0" w:rsidRDefault="00CD5B00" w:rsidP="00CA020B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3575,0</w:t>
            </w:r>
          </w:p>
        </w:tc>
        <w:tc>
          <w:tcPr>
            <w:tcW w:w="993" w:type="dxa"/>
          </w:tcPr>
          <w:p w:rsidR="00CD5B00" w:rsidRPr="00BA1CC0" w:rsidRDefault="00CD5B00" w:rsidP="00CA020B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6</w:t>
            </w:r>
            <w:r w:rsidRPr="00BA1CC0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75,0</w:t>
            </w:r>
          </w:p>
        </w:tc>
        <w:tc>
          <w:tcPr>
            <w:tcW w:w="1893" w:type="dxa"/>
          </w:tcPr>
          <w:p w:rsidR="00CD5B00" w:rsidRDefault="00CD5B00" w:rsidP="007532DC"/>
        </w:tc>
      </w:tr>
    </w:tbl>
    <w:p w:rsidR="007532DC" w:rsidRDefault="007532DC"/>
    <w:p w:rsidR="00CD5B00" w:rsidRDefault="00CD5B00"/>
    <w:p w:rsidR="00CD5B00" w:rsidRDefault="00CD5B00"/>
    <w:p w:rsidR="00CD5B00" w:rsidRDefault="00CD5B00" w:rsidP="00CD5B00">
      <w:pPr>
        <w:tabs>
          <w:tab w:val="left" w:pos="11907"/>
        </w:tabs>
      </w:pPr>
      <w:r w:rsidRPr="00BA1CC0">
        <w:rPr>
          <w:rFonts w:ascii="Times New Roman" w:hAnsi="Times New Roman" w:cs="Times New Roman"/>
          <w:b/>
          <w:sz w:val="24"/>
          <w:szCs w:val="24"/>
        </w:rPr>
        <w:t>Керуючий справами обласної ради</w:t>
      </w:r>
      <w:r w:rsidRPr="00BA1CC0">
        <w:rPr>
          <w:rFonts w:ascii="Times New Roman" w:hAnsi="Times New Roman" w:cs="Times New Roman"/>
          <w:b/>
          <w:sz w:val="24"/>
          <w:szCs w:val="24"/>
        </w:rPr>
        <w:tab/>
        <w:t>Микола БОРЕЦЬ</w:t>
      </w:r>
    </w:p>
    <w:sectPr w:rsidR="00CD5B00" w:rsidSect="007532DC">
      <w:headerReference w:type="default" r:id="rId6"/>
      <w:pgSz w:w="16838" w:h="11906" w:orient="landscape"/>
      <w:pgMar w:top="1135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3E4" w:rsidRDefault="003173E4" w:rsidP="00CD5B00">
      <w:pPr>
        <w:spacing w:after="0" w:line="240" w:lineRule="auto"/>
      </w:pPr>
      <w:r>
        <w:separator/>
      </w:r>
    </w:p>
  </w:endnote>
  <w:endnote w:type="continuationSeparator" w:id="0">
    <w:p w:rsidR="003173E4" w:rsidRDefault="003173E4" w:rsidP="00CD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3E4" w:rsidRDefault="003173E4" w:rsidP="00CD5B00">
      <w:pPr>
        <w:spacing w:after="0" w:line="240" w:lineRule="auto"/>
      </w:pPr>
      <w:r>
        <w:separator/>
      </w:r>
    </w:p>
  </w:footnote>
  <w:footnote w:type="continuationSeparator" w:id="0">
    <w:p w:rsidR="003173E4" w:rsidRDefault="003173E4" w:rsidP="00CD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3444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D5B00" w:rsidRPr="00CD5B00" w:rsidRDefault="00CD5B00">
        <w:pPr>
          <w:pStyle w:val="a4"/>
          <w:jc w:val="center"/>
          <w:rPr>
            <w:sz w:val="24"/>
            <w:szCs w:val="24"/>
          </w:rPr>
        </w:pPr>
        <w:r w:rsidRPr="00CD5B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5B0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D5B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3E5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D5B0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32DC"/>
    <w:rsid w:val="000221F1"/>
    <w:rsid w:val="00046FBB"/>
    <w:rsid w:val="000B30CF"/>
    <w:rsid w:val="0010027D"/>
    <w:rsid w:val="00103430"/>
    <w:rsid w:val="001546D8"/>
    <w:rsid w:val="00187A5C"/>
    <w:rsid w:val="00203231"/>
    <w:rsid w:val="00206D85"/>
    <w:rsid w:val="002161C0"/>
    <w:rsid w:val="00225AC6"/>
    <w:rsid w:val="00256F75"/>
    <w:rsid w:val="00275B99"/>
    <w:rsid w:val="002A4CA2"/>
    <w:rsid w:val="003173E4"/>
    <w:rsid w:val="003269BB"/>
    <w:rsid w:val="00334DFF"/>
    <w:rsid w:val="003A2D00"/>
    <w:rsid w:val="003A5B89"/>
    <w:rsid w:val="003F29AE"/>
    <w:rsid w:val="00412926"/>
    <w:rsid w:val="0044105D"/>
    <w:rsid w:val="004725FE"/>
    <w:rsid w:val="004B6D79"/>
    <w:rsid w:val="004C4BB3"/>
    <w:rsid w:val="004D20EB"/>
    <w:rsid w:val="004D645E"/>
    <w:rsid w:val="005218F2"/>
    <w:rsid w:val="00530DC4"/>
    <w:rsid w:val="005719DA"/>
    <w:rsid w:val="00593CE6"/>
    <w:rsid w:val="005C1A23"/>
    <w:rsid w:val="005D1692"/>
    <w:rsid w:val="006B1C3C"/>
    <w:rsid w:val="006B4D85"/>
    <w:rsid w:val="007532DC"/>
    <w:rsid w:val="0076556C"/>
    <w:rsid w:val="007E3C25"/>
    <w:rsid w:val="008728CA"/>
    <w:rsid w:val="0089017F"/>
    <w:rsid w:val="008B0E36"/>
    <w:rsid w:val="008C25CE"/>
    <w:rsid w:val="00902222"/>
    <w:rsid w:val="00924787"/>
    <w:rsid w:val="00932DF7"/>
    <w:rsid w:val="009759F4"/>
    <w:rsid w:val="00986527"/>
    <w:rsid w:val="00A33E50"/>
    <w:rsid w:val="00AA1FC5"/>
    <w:rsid w:val="00AD358E"/>
    <w:rsid w:val="00B25475"/>
    <w:rsid w:val="00B93CB2"/>
    <w:rsid w:val="00B97B5B"/>
    <w:rsid w:val="00BB0757"/>
    <w:rsid w:val="00BB2327"/>
    <w:rsid w:val="00BB2D20"/>
    <w:rsid w:val="00BD0C66"/>
    <w:rsid w:val="00BF73C7"/>
    <w:rsid w:val="00C21C2F"/>
    <w:rsid w:val="00C414B5"/>
    <w:rsid w:val="00C65A29"/>
    <w:rsid w:val="00CB3DEB"/>
    <w:rsid w:val="00CB7BA3"/>
    <w:rsid w:val="00CC6EF0"/>
    <w:rsid w:val="00CD5B00"/>
    <w:rsid w:val="00CF17C7"/>
    <w:rsid w:val="00D04361"/>
    <w:rsid w:val="00D05E38"/>
    <w:rsid w:val="00D1245E"/>
    <w:rsid w:val="00D653F5"/>
    <w:rsid w:val="00D666BF"/>
    <w:rsid w:val="00E11AA5"/>
    <w:rsid w:val="00E232B3"/>
    <w:rsid w:val="00E83C9F"/>
    <w:rsid w:val="00ED6AF3"/>
    <w:rsid w:val="00EF3EA0"/>
    <w:rsid w:val="00F52348"/>
    <w:rsid w:val="00FC1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Название объекта1"/>
    <w:basedOn w:val="a"/>
    <w:rsid w:val="007532D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ru-RU" w:eastAsia="ar-SA"/>
    </w:rPr>
  </w:style>
  <w:style w:type="paragraph" w:customStyle="1" w:styleId="Style2">
    <w:name w:val="Style2"/>
    <w:basedOn w:val="a"/>
    <w:rsid w:val="00CD5B00"/>
    <w:pPr>
      <w:widowControl w:val="0"/>
      <w:suppressAutoHyphens/>
      <w:autoSpaceDE w:val="0"/>
      <w:spacing w:after="0" w:line="415" w:lineRule="exact"/>
      <w:jc w:val="center"/>
    </w:pPr>
    <w:rPr>
      <w:rFonts w:ascii="Calibri" w:eastAsia="Times New Roman" w:hAnsi="Calibri" w:cs="Times New Roman"/>
      <w:sz w:val="24"/>
      <w:szCs w:val="24"/>
      <w:lang w:val="ru-RU" w:eastAsia="ar-SA"/>
    </w:rPr>
  </w:style>
  <w:style w:type="paragraph" w:styleId="a4">
    <w:name w:val="header"/>
    <w:basedOn w:val="a"/>
    <w:link w:val="a5"/>
    <w:uiPriority w:val="99"/>
    <w:unhideWhenUsed/>
    <w:rsid w:val="00CD5B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5B00"/>
  </w:style>
  <w:style w:type="paragraph" w:styleId="a6">
    <w:name w:val="footer"/>
    <w:basedOn w:val="a"/>
    <w:link w:val="a7"/>
    <w:uiPriority w:val="99"/>
    <w:semiHidden/>
    <w:unhideWhenUsed/>
    <w:rsid w:val="00CD5B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D5B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7800</Words>
  <Characters>4447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2021-04-01T08:14:00Z</dcterms:created>
  <dcterms:modified xsi:type="dcterms:W3CDTF">2021-04-01T08:53:00Z</dcterms:modified>
</cp:coreProperties>
</file>