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5" o:title=""/>
          </v:shape>
          <o:OLEObject Type="Embed" ProgID="PBrush" ShapeID="_x0000_i1025" DrawAspect="Content" ObjectID="_172942146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6726A" w:rsidP="00670165">
      <w:pPr>
        <w:pStyle w:val="3"/>
        <w:rPr>
          <w:szCs w:val="28"/>
        </w:rPr>
      </w:pPr>
      <w:r>
        <w:rPr>
          <w:szCs w:val="28"/>
        </w:rPr>
        <w:t xml:space="preserve">3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BB4E5B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>
        <w:rPr>
          <w:szCs w:val="28"/>
        </w:rPr>
        <w:t>275</w:t>
      </w:r>
      <w:r w:rsidR="00B67F0B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А</w:t>
      </w:r>
      <w:r w:rsidR="00BB4E5B">
        <w:rPr>
          <w:sz w:val="28"/>
          <w:szCs w:val="28"/>
        </w:rPr>
        <w:t>0409</w:t>
      </w:r>
      <w:r w:rsidR="000C6FB9">
        <w:rPr>
          <w:sz w:val="28"/>
          <w:szCs w:val="28"/>
        </w:rPr>
        <w:t xml:space="preserve"> </w:t>
      </w:r>
      <w:r w:rsidR="00BB4E5B">
        <w:rPr>
          <w:sz w:val="28"/>
          <w:szCs w:val="28"/>
        </w:rPr>
        <w:t>Богдана КОЧЕРГАНА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B4E5B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48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48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</w:t>
      </w:r>
      <w:r w:rsidR="00B67F0B">
        <w:rPr>
          <w:b/>
          <w:sz w:val="28"/>
          <w:szCs w:val="28"/>
        </w:rPr>
        <w:t>2</w:t>
      </w:r>
      <w:r w:rsidR="00FE48FF">
        <w:rPr>
          <w:b/>
          <w:sz w:val="28"/>
          <w:szCs w:val="28"/>
        </w:rPr>
        <w:t>7</w:t>
      </w:r>
      <w:r w:rsidR="00B67F0B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F6A8-A433-4538-92D9-CDFC372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2022-11-08T08:45:00Z</cp:lastPrinted>
  <dcterms:created xsi:type="dcterms:W3CDTF">2022-11-03T06:34:00Z</dcterms:created>
  <dcterms:modified xsi:type="dcterms:W3CDTF">2022-11-08T12:04:00Z</dcterms:modified>
</cp:coreProperties>
</file>